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VO-ID212271 (Brandenburg)</w:t>
      </w:r>
    </w:p>
    <w:p>
      <w:r>
        <w:rPr>
          <w:color w:val="555555"/>
          <w:sz w:val="18"/>
        </w:rPr>
        <w:t xml:space="preserve">Siebte Verordnung zur Übertragung der Befugnis für den Erlass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§ 1 Abs. 1 Nr. 8 Buchstabe d der Ersten Verordnung zur</w:t>
      </w:r>
    </w:p>
    <w:p>
      <w:r>
        <w:t xml:space="preserve">Übertragung der Befugnis für den Erlass von Rechtsverordnungen zur</w:t>
      </w:r>
    </w:p>
    <w:p>
      <w:r>
        <w:t xml:space="preserve">Festsetzung von Naturschutzgebieten und Landschaftsschutzgebieten vom 8. Januar</w:t>
      </w:r>
    </w:p>
    <w:p>
      <w:r>
        <w:t xml:space="preserve">1996 (GVBl. II S. 51), die zuletzt durch Verordnung vom 30. Juni 2005 (GVBl. II</w:t>
      </w:r>
    </w:p>
    <w:p>
      <w:r>
        <w:t xml:space="preserve">S. 410) geändert worden ist, wird aufgehoben.</w:t>
      </w:r>
    </w:p>
    <w:p>
      <w:r>
        <w:t xml:space="preserve">(2) § 1 Abs. 1 Nr. 3 Buchstabe c der Vierten Verordnung zur</w:t>
      </w:r>
    </w:p>
    <w:p>
      <w:r>
        <w:t xml:space="preserve">Übertragung der Befugnis für den Erlass von Rechtsverordnungen zur</w:t>
      </w:r>
    </w:p>
    <w:p>
      <w:r>
        <w:t xml:space="preserve">Festsetzung von Naturschutzgebieten und Landschaftsschutzgebieten vom 15.</w:t>
      </w:r>
    </w:p>
    <w:p>
      <w:r>
        <w:t xml:space="preserve">September 1999 (GVBl. II S. 514) wird aufgehoben.</w:t>
      </w:r>
    </w:p>
    <w:p>
      <w:r>
        <w:rPr>
          <w:color w:val="555555"/>
          <w:sz w:val="17"/>
        </w:rPr>
        <w:t xml:space="preserve">Zitiervorschlag: § 2 VO-ID212271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https://recht.nulegal.eu/gesetze/VO-ID212271/2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