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VO-ID212271 (Brandenburg)</w:t>
      </w:r>
    </w:p>
    <w:p>
      <w:r>
        <w:rPr>
          <w:color w:val="555555"/>
          <w:sz w:val="18"/>
        </w:rPr>
        <w:t xml:space="preserve">Siebte Verordnung zur Übertragung der Befugnis für den Erlass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Befugnis des für Naturschutz und Landschaftspflege zuständigen</w:t>
      </w:r>
    </w:p>
    <w:p>
      <w:r>
        <w:t xml:space="preserve">Fachministers zum Erlass von Rechtsverordnungen zur Festsetzung von</w:t>
      </w:r>
    </w:p>
    <w:p>
      <w:r>
        <w:t xml:space="preserve">Naturschutzgebieten und Landschaftsschutzgebieten nach § 21 Abs. 1 und</w:t>
      </w:r>
    </w:p>
    <w:p>
      <w:r>
        <w:t xml:space="preserve">§ 22 Abs. 2 des Brandenburgischen Naturschutzgesetzes wird</w:t>
      </w:r>
    </w:p>
    <w:p>
      <w:r>
        <w:t xml:space="preserve">für das im Landkreis Oberspreewald-Lausitz geplante Naturschutzgebiet</w:t>
      </w:r>
    </w:p>
    <w:p>
      <w:r>
        <w:t xml:space="preserve">„Sorno-Rosendorfer-Buchten“ auf den Landkreis Oberspreewald-Lausitz</w:t>
      </w:r>
    </w:p>
    <w:p>
      <w:r>
        <w:t xml:space="preserve">als untere Naturschutzbehörde,</w:t>
      </w:r>
    </w:p>
    <w:p>
      <w:r>
        <w:t xml:space="preserve">für das im Landkreis Prignitz geplante Landschaftsschutzgebiet</w:t>
      </w:r>
    </w:p>
    <w:p>
      <w:r>
        <w:t xml:space="preserve">„Osargebiet bei Perleberg“ auf den Landkreis Prignitz als untere</w:t>
      </w:r>
    </w:p>
    <w:p>
      <w:r>
        <w:t xml:space="preserve">Naturschutzbehörde</w:t>
      </w:r>
    </w:p>
    <w:p>
      <w:r>
        <w:t xml:space="preserve">übertragen.</w:t>
      </w:r>
    </w:p>
    <w:p>
      <w:r>
        <w:rPr>
          <w:color w:val="555555"/>
          <w:sz w:val="17"/>
        </w:rPr>
        <w:t xml:space="preserve">Zitiervorschlag: § 1 VO-ID212271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https://recht.nulegal.eu/gesetze/VO-ID212271/1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VO-ID212271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