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VO-ID212269 (Brandenburg) — Schutzzweck</w:t>
      </w:r>
    </w:p>
    <w:p>
      <w:r>
        <w:rPr>
          <w:color w:val="555555"/>
          <w:sz w:val="18"/>
        </w:rPr>
        <w:t xml:space="preserve">Verordnung über das Naturschutzgebiet „Jackel“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 ist</w:t>
      </w:r>
    </w:p>
    <w:p>
      <w:r>
        <w:t xml:space="preserve">die Erhaltung und Entwicklung des Naturschutzgebietes „Jackel“ als größtes, zusammenhängendes, naturnahes Moorgebiet der Perleberger Heide einschließlich des von Laub- und Laubmischwäldern geprägten Übergangbereiches in die angrenzenden Talsande;</w:t>
      </w:r>
    </w:p>
    <w:p>
      <w:r>
        <w:t xml:space="preserve">die Erhaltung und Entwicklung als Lebensraum wild lebender Pflanzengesellschaften, insbesondere Seggenrieder, Röhrichte und andere Pflanzengesellschaften gehölzfreier, flach überstauter Moore, der Wälder und kleinen Fließgewässer;</w:t>
      </w:r>
    </w:p>
    <w:p>
      <w:r>
        <w:t xml:space="preserve">die Erhaltung und Entwicklung naturnah strukturierter Wälder, vor allem der Bruchwälder und Laub- beziehungsweise Laubmischwälder, deren Artenzusammensetzung sich an der potenziell natürlichen Vegetation orientiert;</w:t>
      </w:r>
    </w:p>
    <w:p>
      <w:r>
        <w:t xml:space="preserve">die Erhaltung und Entwicklung der Lebensräume wild lebender Pflanzenarten, darunter zahlreicher nach § 10 Abs. 2 Nr. 10 des Bundesnaturschutzgesetzes besonders geschützter Arten wie beispielsweise Sumpf-Porst (Ledum palustre), Wasserfeder (Hottonia palustris), Königsfarn (Osmunda regalis) und Torfmoose;</w:t>
      </w:r>
    </w:p>
    <w:p>
      <w:r>
        <w:t xml:space="preserve">die Erhaltung und Entwicklung des Gebietes als Lebens- beziehungsweise Rückzugsraum und potenzielles Wiederausbreitungszentrum wild lebender Tierarten, darunter zahlreicher nach § 10 Abs. 2 Nr. 10 und 11 des Bundesnaturschutzgesetzes besonders und streng geschützter Arten wie beispielsweise Fledermäuse, Krickente, Zwergtaucher, Bekassine, Pirol, Waldschnepfe und Großvogelarten, Laubfrosch, Libellen und Schmetterlinge;</w:t>
      </w:r>
    </w:p>
    <w:p>
      <w:r>
        <w:t xml:space="preserve">die Erhaltung und Wiederherstellung des moortypischen Wasserhaushaltes einschließlich des für die Ausprägung der Lebensgemeinschaften bedeutsamen kleinflächigen Wechsels der Wasser- und Nährstoffverhältnisse;</w:t>
      </w:r>
    </w:p>
    <w:p>
      <w:r>
        <w:t xml:space="preserve">die Erhaltung des Gebietes als wichtiges Element im überregionalen Biotopverbund, insbesondere zu anderen Feuchtgebieten und Wäldern;</w:t>
      </w:r>
    </w:p>
    <w:p>
      <w:r>
        <w:t xml:space="preserve">die Erhaltung der besonderen Eigenart eines großen, überwiegend von Bruchwäldern geprägten Moores inmitten der ausgedehnten Wälder der Perleberger Heide und der hervorragenden landschaftlichen Schönheit des Gebietes mit seinem ursprünglichen Charakter.</w:t>
      </w:r>
    </w:p>
    <w:p>
      <w:r>
        <w:t xml:space="preserve">(2) Die Unterschutzstellung dient der Erhaltung und Entwicklung</w:t>
      </w:r>
    </w:p>
    <w:p>
      <w:r>
        <w:t xml:space="preserve">des Gebietes als Teil des Europäischen Vogelschutzgebietes „Unteres Elbetal“ nach der Richtlinie 79/409/EWG des Rates vom 2. April 1979 über die Erhaltung der wild lebenden Vogelarten (ABl. EG Nr. L 103 S. 1), zuletzt geändert durch die Richtlinie 97/49/EG vom 29. Juli 1997 (ABl. EG Nr. L 233 S. 9) - Vogelschutz-Richtlinie -, in seiner Funktion als Lebensraum von Arten nach Anhang I der Vogelschutz-Richtlinie, beispielsweise Rotmilan, Rohrweihe, Kranich, Schwarzspecht, Mittelspecht und Neuntöter;</w:t>
      </w:r>
    </w:p>
    <w:p>
      <w:r>
        <w:t xml:space="preserve">von Hainsimsen-Buchenwald (Luzulo-Fagetum) und alten bodensauren Eichenwäldern mit Quercus robur auf Sandebenen als Lebensraumtypen nach Anhang I der Richtlinie 92/43/EWG des Rates vom 21. Mai 1992 zur Erhaltung der natürlichen Lebensräume sowie der wild lebenden Tiere und Pflanzen (ABl. EG Nr. L 206 S. 7), zuletzt geändert durch Richtlinie 97/62/EG vom 27. Oktober 1997 (ABl. EG Nr. L 305 S. 42) - Fauna-Flora-Habitat-Richtlinie;</w:t>
      </w:r>
    </w:p>
    <w:p>
      <w:r>
        <w:t xml:space="preserve">von Birken-Moorwäldern, Moorwäldern und Auen-Wäldern mit Alnus glutinosa und Fraxinus excelsior (Alno-Padion, Alnion incanae, Salicion albae) als prioritäre Lebensraumtypen nach Anhang I der Fauna-Flora-Habitat-Richtlinie.</w:t>
      </w:r>
    </w:p>
    <w:p>
      <w:r>
        <w:t xml:space="preserve">(3) Darüber hinaus ist besonderer Schutzzweck für die Zone 1 (Totalreservat)</w:t>
      </w:r>
    </w:p>
    <w:p>
      <w:r>
        <w:t xml:space="preserve">eine von menschlichen Einwirkungen unbeeinflusste Entwicklung eines Moores einschließlich der Rand- und Übergangsbereiche mit den charakteristischen Wasserverhältnissen und seiner typischen Flora und Fauna zu ermöglichen;</w:t>
      </w:r>
    </w:p>
    <w:p>
      <w:r>
        <w:t xml:space="preserve">die Erhaltung aus wissenschaftlichen Gründen, insbesondere für Untersuchungen von Sukzessionsabläufen sowie für Untersuchungen zur Entwicklung eines durch Grundwasserabsenkung gestörten Moores und seiner Vegetation nach einer Wiedervernässung;</w:t>
      </w:r>
    </w:p>
    <w:p>
      <w:r>
        <w:t xml:space="preserve">die Erhaltung eines wichtigen Rückzugsgebietes für störungsempfindliche Tierarten, insbesondere eines ungestörten Brut- und Nahrungsgebietes für Großvogelarten.</w:t>
      </w:r>
    </w:p>
    <w:p>
      <w:r>
        <w:rPr>
          <w:color w:val="555555"/>
          <w:sz w:val="17"/>
        </w:rPr>
        <w:t xml:space="preserve">Zitiervorschlag: § 3 VO-ID212269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https://recht.nulegal.eu/gesetze/VO-ID212269/3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VO-ID212269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