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VO-ID212259 (Brandenburg)</w:t>
      </w:r>
    </w:p>
    <w:p>
      <w:r>
        <w:rPr>
          <w:color w:val="555555"/>
          <w:sz w:val="18"/>
        </w:rPr>
        <w:t xml:space="preserve">Verordnung zur Bestimmung der Verwaltungsbehörde für die EU-Strukturfonds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23. Juni 2001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Manfred Stolpe</w:t>
      </w:r>
    </w:p>
    <w:p>
      <w:r>
        <w:t xml:space="preserve">Die Ministerin der Finanzen</w:t>
      </w:r>
    </w:p>
    <w:p>
      <w:r>
        <w:t xml:space="preserve">Dagmar Ziegler</w:t>
      </w:r>
    </w:p>
    <w:p>
      <w:r>
        <w:rPr>
          <w:color w:val="555555"/>
          <w:sz w:val="17"/>
        </w:rPr>
        <w:t xml:space="preserve">Zitiervorschlag: § 2 VO-ID212259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