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VO-ID212259 (Brandenburg)</w:t>
      </w:r>
    </w:p>
    <w:p>
      <w:r>
        <w:rPr>
          <w:color w:val="555555"/>
          <w:sz w:val="18"/>
        </w:rPr>
        <w:t xml:space="preserve">Verordnung zur Bestimmung der Verwaltungsbehörde für die EU-Strukturfonds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Verwaltungsbehörde im Sinne des Artikels 9 Buchstabe n in Verbindung mit Artikel 9 Buchstabe e der Verordnung (EG) Nr.</w:t>
      </w:r>
    </w:p>
    <w:p>
      <w:r>
        <w:t xml:space="preserve">1260/99 des Rates vom 21. Juni 1999 mit allgemeinen Bestimmungen über die Strukturfonds (ABl. EG Nr. L 161 S. 1) für das Land Brandenburg ist die</w:t>
      </w:r>
    </w:p>
    <w:p>
      <w:r>
        <w:t xml:space="preserve">Staatskanzlei. Die</w:t>
      </w:r>
    </w:p>
    <w:p>
      <w:r>
        <w:t xml:space="preserve">Delegation von Teilaufgaben auf die fondsverwaltenden Ressorts erfolgt durch Verwaltungsvereinbarung.</w:t>
      </w:r>
    </w:p>
    <w:p>
      <w:r>
        <w:rPr>
          <w:color w:val="555555"/>
          <w:sz w:val="17"/>
        </w:rPr>
        <w:t xml:space="preserve">Zitiervorschlag: § 1 VO-ID212259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https://recht.nulegal.eu/gesetze/VO-ID212259/1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