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VO-ID212257 (Brandenburg)</w:t>
      </w:r>
    </w:p>
    <w:p>
      <w:r>
        <w:rPr>
          <w:color w:val="555555"/>
          <w:sz w:val="18"/>
        </w:rPr>
        <w:t xml:space="preserve">Verordnung zur Bestimmung der Verwaltungsbehörde für die Programmplanung im Rahmen der Gemeinschaftsinitiative Interreg III A für die Förderperiode 2000-2006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Verwaltungsbehörde für die „Programmplanung des Landes Brandenburg Interreg III A Förderperiode 2000-2006“ im Sinne des Artikels 9 Buchstabe n in Verbindung mit Artikel 9 Buchstabe e der Verordnung (EG) Nr. 1260/1999 des Rates vom 21. Juni 1999 mit allgemeinen Bestimmungen über die Strukturfonds (ABl. EG Nr. L 161 S. 1) ist die</w:t>
      </w:r>
    </w:p>
    <w:p>
      <w:r>
        <w:t xml:space="preserve">Staatskanzlei. Die Delegation von Teilaufgaben auf das fondsverwaltende Ministerium für Wirtschaft bzw. auf das Ministerium der Justiz und für Europaangelegenheiten als Sekretariat erfolgt durch Verwaltungsvereinbarungen.</w:t>
      </w:r>
    </w:p>
    <w:p>
      <w:r>
        <w:rPr>
          <w:color w:val="555555"/>
          <w:sz w:val="17"/>
        </w:rPr>
        <w:t xml:space="preserve">Zitiervorschlag: § 1 VO-ID212257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