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VO-ID212254 (Brandenburg) — Inkrafttreten</w:t>
      </w:r>
    </w:p>
    <w:p>
      <w:r>
        <w:rPr>
          <w:color w:val="555555"/>
          <w:sz w:val="18"/>
        </w:rPr>
        <w:t xml:space="preserve">Ordnungsbehördliche Verordnung zur Unterschutzstellung des Denkmalbereichs „Jägervorstadt“ in Potsdam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01.09.2026 (konsolidierte Textfassung, kein amtliches Inkrafttretensdatum)</w:t>
      </w:r>
    </w:p>
    <w:p>
      <w:r>
        <w:t xml:space="preserve">Diese ordnungsbehördliche Verordnung tritt am Tage nach der</w:t>
      </w:r>
    </w:p>
    <w:p>
      <w:r>
        <w:t xml:space="preserve">Verkündung in Kraft. Sie wird aufgehoben, sobald die Landeshauptstadt</w:t>
      </w:r>
    </w:p>
    <w:p>
      <w:r>
        <w:t xml:space="preserve">Potsdam nach § 4 Abs. 1 des Brandenburgischen Denkmalschutzgesetzes eine</w:t>
      </w:r>
    </w:p>
    <w:p>
      <w:r>
        <w:t xml:space="preserve">Denkmalbereichssatzung erlassen hat.</w:t>
      </w:r>
    </w:p>
    <w:p>
      <w:r>
        <w:t xml:space="preserve">Potsdam, den 27. März 2007</w:t>
      </w:r>
    </w:p>
    <w:p>
      <w:r>
        <w:t xml:space="preserve">Die Ministerin für Wissenschaft,</w:t>
      </w:r>
    </w:p>
    <w:p>
      <w:r>
        <w:t xml:space="preserve">Forschung und Kultur</w:t>
      </w:r>
    </w:p>
    <w:p>
      <w:r>
        <w:t xml:space="preserve">Prof. Dr. Johanna Wanka</w:t>
      </w:r>
    </w:p>
    <w:p>
      <w:r>
        <w:rPr>
          <w:color w:val="555555"/>
          <w:sz w:val="17"/>
        </w:rPr>
        <w:t xml:space="preserve">Zitiervorschlag: § 4 VO-ID212254 (Brandenburg)</w:t>
      </w:r>
    </w:p>
    <w:p>
      <w:r>
        <w:rPr>
          <w:color w:val="555555"/>
          <w:sz w:val="17"/>
        </w:rPr>
        <w:t xml:space="preserve">Quelle: bravors, abgerufen 01.09.2026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https://recht.nulegal.eu/gesetze/VO-ID212254/4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