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VO-ID212254 (Brandenburg) — Rechtsfolgen</w:t>
      </w:r>
    </w:p>
    <w:p>
      <w:r>
        <w:rPr>
          <w:color w:val="555555"/>
          <w:sz w:val="18"/>
        </w:rPr>
        <w:t xml:space="preserve">Ordnungsbehördliche Verordnung zur Unterschutzstellung des Denkmalbereichs „Jägervorstadt“ in Potsdam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Mit Inkrafttreten dieser Verordnung unterliegt der Denkmalbereich im</w:t>
      </w:r>
    </w:p>
    <w:p>
      <w:r>
        <w:t xml:space="preserve">Rahmen des räumlichen und sachlichen Geltungsbereichs gemäß den</w:t>
      </w:r>
    </w:p>
    <w:p>
      <w:r>
        <w:t xml:space="preserve">§§ 1 und 2 den Bestimmungen des Brandenburgischen</w:t>
      </w:r>
    </w:p>
    <w:p>
      <w:r>
        <w:t xml:space="preserve">Denkmalschutzgesetzes. Der Denkmalbereich ist ein Denkmal im Sinne des</w:t>
      </w:r>
    </w:p>
    <w:p>
      <w:r>
        <w:t xml:space="preserve">Brandenburgischen Denkmalschutzgesetzes (§ 2 Abs. 2 Nr. 2).</w:t>
      </w:r>
    </w:p>
    <w:p>
      <w:r>
        <w:t xml:space="preserve">(2) Unberührt von dieser Verordnung bleibt der bestehende Schutz der</w:t>
      </w:r>
    </w:p>
    <w:p>
      <w:r>
        <w:t xml:space="preserve">zum Denkmalbereich „Jägervorstadt“ gehörenden</w:t>
      </w:r>
    </w:p>
    <w:p>
      <w:r>
        <w:t xml:space="preserve">eigenständigen Denkmale im Sinne des § 2 Abs. 2 Nr. 1 und 4 des</w:t>
      </w:r>
    </w:p>
    <w:p>
      <w:r>
        <w:t xml:space="preserve">Brandenburgischen Denkmalschutzgesetzes sowie des angrenzenden Denkmalbereichs</w:t>
      </w:r>
    </w:p>
    <w:p>
      <w:r>
        <w:t xml:space="preserve">Berlin-Potsdamer Kulturlandschaft.</w:t>
      </w:r>
    </w:p>
    <w:p>
      <w:r>
        <w:rPr>
          <w:color w:val="555555"/>
          <w:sz w:val="17"/>
        </w:rPr>
        <w:t xml:space="preserve">Zitiervorschlag: § 3 VO-ID212254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