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VO-ID212254 (Brandenburg) — Sachlicher Geltungsbereich</w:t>
      </w:r>
    </w:p>
    <w:p>
      <w:r>
        <w:rPr>
          <w:color w:val="555555"/>
          <w:sz w:val="18"/>
        </w:rPr>
        <w:t xml:space="preserve">Ordnungsbehördliche Verordnung zur Unterschutzstellung des Denkmalbereichs „Jägervorstadt“ in Potsdam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Im sachlichen Geltungsbereich dieser Verordnung sind aus den in der</w:t>
      </w:r>
    </w:p>
    <w:p>
      <w:r>
        <w:t xml:space="preserve">Anlage 2 aufgeführten Gründen geschützt:</w:t>
      </w:r>
    </w:p>
    <w:p>
      <w:r>
        <w:t xml:space="preserve">der historische Siedlungsgrundriss (Einzel- sowie straßenbegleitende</w:t>
      </w:r>
    </w:p>
    <w:p>
      <w:r>
        <w:t xml:space="preserve">Bebauung einschließlich der vorhandenen Hinterhäuser, Remisen,</w:t>
      </w:r>
    </w:p>
    <w:p>
      <w:r>
        <w:t xml:space="preserve">Pavillons, Pergolen, rückwärtigen und seitlichen Freiräume sowie</w:t>
      </w:r>
    </w:p>
    <w:p>
      <w:r>
        <w:t xml:space="preserve">insbesondere die Vorgartenbereiche mit ihren Einfriedungen, Einfriedungsresten,</w:t>
      </w:r>
    </w:p>
    <w:p>
      <w:r>
        <w:t xml:space="preserve">Einfriedungstoren, Zufahrten, Zuwegungen mit den historischen</w:t>
      </w:r>
    </w:p>
    <w:p>
      <w:r>
        <w:t xml:space="preserve">Oberflächenbefestigungen sowie mit den historischen</w:t>
      </w:r>
    </w:p>
    <w:p>
      <w:r>
        <w:t xml:space="preserve">Gartengestaltungselementen wie Brunnen und Skulpturen aus Natur- oder</w:t>
      </w:r>
    </w:p>
    <w:p>
      <w:r>
        <w:t xml:space="preserve">Kunststein),</w:t>
      </w:r>
    </w:p>
    <w:p>
      <w:r>
        <w:t xml:space="preserve">die das äußere Erscheinungsbild des Vorstadtbereichs</w:t>
      </w:r>
    </w:p>
    <w:p>
      <w:r>
        <w:t xml:space="preserve">prägende Substanz mit den baulichen Strukturen, vorhandenen</w:t>
      </w:r>
    </w:p>
    <w:p>
      <w:r>
        <w:t xml:space="preserve">Karreebildungen und den Resten der gärtnerischen Anlagen, die historischen</w:t>
      </w:r>
    </w:p>
    <w:p>
      <w:r>
        <w:t xml:space="preserve">Fassadendetails, historisch authentischen Dachformen und -deckungsmaterialien</w:t>
      </w:r>
    </w:p>
    <w:p>
      <w:r>
        <w:t xml:space="preserve">und die noch vorhandenen originalen Treppenhausanlagen, die sich in der</w:t>
      </w:r>
    </w:p>
    <w:p>
      <w:r>
        <w:t xml:space="preserve">Außenstruktur eines Gebäudes abzeichnen,</w:t>
      </w:r>
    </w:p>
    <w:p>
      <w:r>
        <w:t xml:space="preserve">die vorhandenen umschließenden unter § 1 Abs. 1 benannten</w:t>
      </w:r>
    </w:p>
    <w:p>
      <w:r>
        <w:t xml:space="preserve">Straßenzüge sowie die das Gebiet querenden Straßen</w:t>
      </w:r>
    </w:p>
    <w:p>
      <w:r>
        <w:t xml:space="preserve">(Brentanoweg, Gregor-Mendel-Straße, Tieck-, Schlegel- und</w:t>
      </w:r>
    </w:p>
    <w:p>
      <w:r>
        <w:t xml:space="preserve">Weinbergstraße) mit den noch vorhandenen historischen Pflasterungen,</w:t>
      </w:r>
    </w:p>
    <w:p>
      <w:r>
        <w:t xml:space="preserve">Gehweg- und Zaunanlagen, historischen Steinsetzungen auf und außerhalb</w:t>
      </w:r>
    </w:p>
    <w:p>
      <w:r>
        <w:t xml:space="preserve">der Grundstücke.</w:t>
      </w:r>
    </w:p>
    <w:p>
      <w:r>
        <w:t xml:space="preserve">(2) Der historische Siedlungsgrundriss sowie das Erscheinungsbild werden</w:t>
      </w:r>
    </w:p>
    <w:p>
      <w:r>
        <w:t xml:space="preserve">geprägt durch</w:t>
      </w:r>
    </w:p>
    <w:p>
      <w:r>
        <w:t xml:space="preserve">die weitgehend für Potsdam typische Vorstadtbebauung mit</w:t>
      </w:r>
    </w:p>
    <w:p>
      <w:r>
        <w:t xml:space="preserve">traufständigen klassizistischen und gründerzeitlichen</w:t>
      </w:r>
    </w:p>
    <w:p>
      <w:r>
        <w:t xml:space="preserve">Bürgerhäusern, Villen und Landhäusern, Zwerchgiebel- und</w:t>
      </w:r>
    </w:p>
    <w:p>
      <w:r>
        <w:t xml:space="preserve">Turmvillen (insbesondere aus der Mitte des 19. Jahrhunderts für</w:t>
      </w:r>
    </w:p>
    <w:p>
      <w:r>
        <w:t xml:space="preserve">Angehörige des Militärs und des Hofes), die großzügige</w:t>
      </w:r>
    </w:p>
    <w:p>
      <w:r>
        <w:t xml:space="preserve">Parzellierung des ehemals ländlichen Gebietes mit zum Teil gut erhaltenen</w:t>
      </w:r>
    </w:p>
    <w:p>
      <w:r>
        <w:t xml:space="preserve">Remisen-, Vorgarten-, Hausgarten- oder Parkanlagen (mit Exedren und Brunnen)</w:t>
      </w:r>
    </w:p>
    <w:p>
      <w:r>
        <w:t xml:space="preserve">nach den ursprünglichen landschaftlichen und hydrologischen Gegebenheiten,</w:t>
      </w:r>
    </w:p>
    <w:p>
      <w:r>
        <w:t xml:space="preserve">die traufständigen, abgewalmten Siedlungshäuser aus den 20er</w:t>
      </w:r>
    </w:p>
    <w:p>
      <w:r>
        <w:t xml:space="preserve">Jahren des 20. Jahrhunderts mit Zwischenmauern und den sogenannten</w:t>
      </w:r>
    </w:p>
    <w:p>
      <w:r>
        <w:t xml:space="preserve">Parkbändern (Voltaireweg, Parkstraße, Schlegelstraße,</w:t>
      </w:r>
    </w:p>
    <w:p>
      <w:r>
        <w:t xml:space="preserve">Gregor-Mendel-Straße), die sich besonders in das umgebende</w:t>
      </w:r>
    </w:p>
    <w:p>
      <w:r>
        <w:t xml:space="preserve">Großgrün einpassen,</w:t>
      </w:r>
    </w:p>
    <w:p>
      <w:r>
        <w:t xml:space="preserve">den Verlauf der straßenraumbildenden Fluchtlinien, die Einfahrten</w:t>
      </w:r>
    </w:p>
    <w:p>
      <w:r>
        <w:t xml:space="preserve">sowie durch die kunstvollen Vorgarten-Zaunanlagen mit der entsprechenden</w:t>
      </w:r>
    </w:p>
    <w:p>
      <w:r>
        <w:t xml:space="preserve">Staffelung nach der topografischen Lage (insbesondere Gregor-Mendel- und</w:t>
      </w:r>
    </w:p>
    <w:p>
      <w:r>
        <w:t xml:space="preserve">Weinbergstraße),</w:t>
      </w:r>
    </w:p>
    <w:p>
      <w:r>
        <w:t xml:space="preserve">die terrassierte Bebauung und Geländemodellierung im Bereich des</w:t>
      </w:r>
    </w:p>
    <w:p>
      <w:r>
        <w:t xml:space="preserve">ehemaligen Mühlenberges,</w:t>
      </w:r>
    </w:p>
    <w:p>
      <w:r>
        <w:t xml:space="preserve">die Kasernenbebauung (dominierendes selbständig geschütztes</w:t>
      </w:r>
    </w:p>
    <w:p>
      <w:r>
        <w:t xml:space="preserve">Denkmal) im nordöstlichen Denkmalbereich sowie die städtebaulich</w:t>
      </w:r>
    </w:p>
    <w:p>
      <w:r>
        <w:t xml:space="preserve">intakte Struktur der klassizistischen, großräumigen Villenbebauung</w:t>
      </w:r>
    </w:p>
    <w:p>
      <w:r>
        <w:t xml:space="preserve">(Einzelhausstellung beziehungsweise beginnende städtische Reihung von</w:t>
      </w:r>
    </w:p>
    <w:p>
      <w:r>
        <w:t xml:space="preserve">Mehrfamilienwohnhäusern zur Gründerzeit mit klassizistischen, aber</w:t>
      </w:r>
    </w:p>
    <w:p>
      <w:r>
        <w:t xml:space="preserve">auch anderen historisierenden Details mit Betonung der Eckbebauung oder in</w:t>
      </w:r>
    </w:p>
    <w:p>
      <w:r>
        <w:t xml:space="preserve">symmetrischer Anordnung), die Maßstäblichkeit der Bebauung mit den</w:t>
      </w:r>
    </w:p>
    <w:p>
      <w:r>
        <w:t xml:space="preserve">betonten Hauptgebäuden und den zurückgesetzten Remisen sowie die</w:t>
      </w:r>
    </w:p>
    <w:p>
      <w:r>
        <w:t xml:space="preserve">teilweise noch vorhandene gesonderte Erschließung für die</w:t>
      </w:r>
    </w:p>
    <w:p>
      <w:r>
        <w:t xml:space="preserve">Dienstboten,</w:t>
      </w:r>
    </w:p>
    <w:p>
      <w:r>
        <w:t xml:space="preserve">die überwiegend flach geneigten Satteldächer und flachen</w:t>
      </w:r>
    </w:p>
    <w:p>
      <w:r>
        <w:t xml:space="preserve">Übergiebelungen der Risalite, die Attikageschosse und die Altananbauten,</w:t>
      </w:r>
    </w:p>
    <w:p>
      <w:r>
        <w:t xml:space="preserve">die noch überall nachzuweisende handwerkliche und künstlerische</w:t>
      </w:r>
    </w:p>
    <w:p>
      <w:r>
        <w:t xml:space="preserve">Fertigkeit der Potsdamer Bauhandwerksmeister sowie die architektonischen</w:t>
      </w:r>
    </w:p>
    <w:p>
      <w:r>
        <w:t xml:space="preserve">Hinweise auf die Schinkel- und Persiusschule, insbesondere bei den</w:t>
      </w:r>
    </w:p>
    <w:p>
      <w:r>
        <w:t xml:space="preserve">straßenseitigen Schaufassaden,</w:t>
      </w:r>
    </w:p>
    <w:p>
      <w:r>
        <w:t xml:space="preserve">die nahezu vollständige Bausubstanz aus der zweiten Hälfte des</w:t>
      </w:r>
    </w:p>
    <w:p>
      <w:r>
        <w:t xml:space="preserve">19. Jahrhunderts,</w:t>
      </w:r>
    </w:p>
    <w:p>
      <w:r>
        <w:t xml:space="preserve">die große Anzahl von Sichtbezügen, die sich innerhalb der</w:t>
      </w:r>
    </w:p>
    <w:p>
      <w:r>
        <w:t xml:space="preserve">Jägervorstadt sowie nach und von außen ergeben, insbesondere die</w:t>
      </w:r>
    </w:p>
    <w:p>
      <w:r>
        <w:t xml:space="preserve">Ausblicke aus dem Schlosspark Sanssouci auf die gegenüberliegende Bebauung</w:t>
      </w:r>
    </w:p>
    <w:p>
      <w:r>
        <w:t xml:space="preserve">im Bereich der Schopenhauerstraße (Staffagewirkung) sowie die durch die</w:t>
      </w:r>
    </w:p>
    <w:p>
      <w:r>
        <w:t xml:space="preserve">Höhensituation am ehemaligen Mühlen- und Weinberg vermittelten</w:t>
      </w:r>
    </w:p>
    <w:p>
      <w:r>
        <w:t xml:space="preserve">Sichtbeziehungen auf die bürgerlichen Bauten am Hang und entgegengesetzt</w:t>
      </w:r>
    </w:p>
    <w:p>
      <w:r>
        <w:t xml:space="preserve">von Hanggrundstücken auf das Stadtgebiet und den Schlosspark Sanssouci.</w:t>
      </w:r>
    </w:p>
    <w:p>
      <w:r>
        <w:rPr>
          <w:color w:val="555555"/>
          <w:sz w:val="17"/>
        </w:rPr>
        <w:t xml:space="preserve">Zitiervorschlag: § 2 VO-ID212254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https://recht.nulegal.eu/gesetze/VO-ID212254/2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