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VO-ID212249 (Brandenburg)</w:t>
      </w:r>
    </w:p>
    <w:p>
      <w:r>
        <w:rPr>
          <w:color w:val="555555"/>
          <w:sz w:val="18"/>
        </w:rPr>
        <w:t xml:space="preserve">Verordnung über die Aufhebung des Wasserschutzgebietes Buchwalde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Das auf der</w:t>
      </w:r>
    </w:p>
    <w:p>
      <w:r>
        <w:t xml:space="preserve">Grundlage des § 28 des Landeskulturgesetzes vom 14. Mai 1970 (GBl. I Nr. 12 S.</w:t>
      </w:r>
    </w:p>
    <w:p>
      <w:r>
        <w:t xml:space="preserve">67), des § 28 des Wassergesetzes vom 17. April 1963 (GBl. I Nr. 5 S. 77) und der</w:t>
      </w:r>
    </w:p>
    <w:p>
      <w:r>
        <w:t xml:space="preserve">Verordnung über die Festlegung von Schutzgebieten für die Wasserentnahme aus dem</w:t>
      </w:r>
    </w:p>
    <w:p>
      <w:r>
        <w:t xml:space="preserve">Grund- und Oberflächenwasser zur Trinkwassergewinnung vom 11. Juli 1974 (GBl. I</w:t>
      </w:r>
    </w:p>
    <w:p>
      <w:r>
        <w:t xml:space="preserve">Nr. 37 S. 349) mit Beschluss Nr. 4/9/80 vom 10. Januar 1980 des Kreistages</w:t>
      </w:r>
    </w:p>
    <w:p>
      <w:r>
        <w:t xml:space="preserve">Senftenberg festgesetzte und nach § 46 des Wassergesetzes vom 2. Juli 1982 (GBl.</w:t>
      </w:r>
    </w:p>
    <w:p>
      <w:r>
        <w:t xml:space="preserve">I Nr. 26 S. 467) aufrechterhaltene Wasserschutzgebiet Buchwalde wird hiermit</w:t>
      </w:r>
    </w:p>
    <w:p>
      <w:r>
        <w:t xml:space="preserve">aufgehoben.</w:t>
      </w:r>
    </w:p>
    <w:p>
      <w:r>
        <w:rPr>
          <w:color w:val="555555"/>
          <w:sz w:val="17"/>
        </w:rPr>
        <w:t xml:space="preserve">Zitiervorschlag: § 1 VO-ID212249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https://recht.nulegal.eu/gesetze/VO-ID212249/1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