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VO-ID212232 (Brandenburg) — Niederlegung</w:t>
      </w:r>
    </w:p>
    <w:p>
      <w:r>
        <w:rPr>
          <w:color w:val="555555"/>
          <w:sz w:val="18"/>
        </w:rPr>
        <w:t xml:space="preserve">Verordnung über den gemeinsamen Landesentwicklungsplan für den engeren Verflechtungsraum Brandenburg-Berlin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LEP eV wird in Brandenburg bei der gemeinsamen</w:t>
      </w:r>
    </w:p>
    <w:p>
      <w:r>
        <w:t xml:space="preserve">Landesplanungsabteilung, bei den Landkreisen, den kreisfreien Städten,</w:t>
      </w:r>
    </w:p>
    <w:p>
      <w:r>
        <w:t xml:space="preserve">amtsfreien Gemeinden und Ämtern, auf deren Bereich sich die Planung</w:t>
      </w:r>
    </w:p>
    <w:p>
      <w:r>
        <w:t xml:space="preserve">erstreckt, zur Einsicht für jedermann niedergelegt.</w:t>
      </w:r>
    </w:p>
    <w:p>
      <w:r>
        <w:rPr>
          <w:color w:val="555555"/>
          <w:sz w:val="17"/>
        </w:rPr>
        <w:t xml:space="preserve">Zitiervorschlag: § 2 VO-ID212232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https://recht.nulegal.eu/gesetze/VO-ID212232/2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