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VO-ID212232 (Brandenburg) — Gemeinsamer Landesentwicklungsplan für den engeren Verflechtungsraum Brandenburg-Berlin</w:t>
      </w:r>
    </w:p>
    <w:p>
      <w:r>
        <w:rPr>
          <w:color w:val="555555"/>
          <w:sz w:val="18"/>
        </w:rPr>
        <w:t xml:space="preserve">Verordnung über den gemeinsamen Landesentwicklungsplan für den engeren Verflechtungsraum Brandenburg-Berlin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Der gemeinsame Landesentwicklungsplan für den engeren</w:t>
      </w:r>
    </w:p>
    <w:p>
      <w:r>
        <w:t xml:space="preserve">Verflechtungsraum Brandenburg-Berlin (LEP eV), der als Anlage</w:t>
      </w:r>
    </w:p>
    <w:p>
      <w:r>
        <w:t xml:space="preserve">veröffentlicht wird, ist Bestandteil dieser Verordnung.</w:t>
      </w:r>
    </w:p>
    <w:p>
      <w:r>
        <w:rPr>
          <w:color w:val="555555"/>
          <w:sz w:val="17"/>
        </w:rPr>
        <w:t xml:space="preserve">Zitiervorschlag: § 1 VO-ID212232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https://recht.nulegal.eu/gesetze/VO-ID212232/1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