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VO-ID212221 (Brandenburg) — Räumlicher Geltungsbereich</w:t>
      </w:r>
    </w:p>
    <w:p>
      <w:r>
        <w:rPr>
          <w:color w:val="555555"/>
          <w:sz w:val="18"/>
        </w:rPr>
        <w:t xml:space="preserve">Verordnung zur Festsetzung des Wasserschutzgebietes Eggersdorf</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Lage und Größe des Wasserschutzgebietes und der Schutzzonen ergeben sich aus der Beschreibung in der Anlage 1, der Übersichtskarte in der Anlage 2 und den in Absatz 2 genannten Karten, die Bestandteil dieser Verordnung sind.</w:t>
      </w:r>
    </w:p>
    <w:p>
      <w:r>
        <w:t xml:space="preserve">(2) Die Schutzzonen sind in einer topographischen Karte im Maßstab 1 : 10 000, die Zone I und die Zone II außerdem in einer Liegenschaftskarte im Maßstab 1 : 2 000 dargestellt. Für die Zone I und die Zone II ist die Darstellung in der Liegenschaftskarte maßgebend. Die Karten sind mit dem Dienstsiegel des Ministeriums für Ländliche Entwicklung, Umwelt und Verbraucherschutz (Siegelnummer 48) versehen. Die Karten sind bei der unteren Wasserbehörde des Landkreises Märkisch-Oderland, der Stadt Strausberg, der Stadt Altlandsberg und der Gemeinde Petershagen/Eggersdorf hinterlegt und können dort während der Dienststunden von jedermann kostenlos eingesehen werden. Weitere Ausfertigungen der Karten befinden sich im Ministerium für Ländliche Entwicklung, Umwelt und Verbraucherschutz und im Landeshauptarchiv.</w:t>
      </w:r>
    </w:p>
    <w:p>
      <w:r>
        <w:t xml:space="preserve">(3) Veränderungen der Grenzen oder der Bezeichnungen der im Wasserschutzgebiet gelegenen Grundstücke berühren die festgesetzten Grenzen der Zonen nicht.</w:t>
      </w:r>
    </w:p>
    <w:p>
      <w:r>
        <w:rPr>
          <w:color w:val="555555"/>
          <w:sz w:val="17"/>
        </w:rPr>
        <w:t xml:space="preserve">Zitiervorschlag: § 2 VO-ID212221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https://recht.nulegal.eu/gesetze/VO-ID212221/2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