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VO-ID212220 (Brandenburg)</w:t>
      </w:r>
    </w:p>
    <w:p>
      <w:r>
        <w:rPr>
          <w:color w:val="555555"/>
          <w:sz w:val="18"/>
        </w:rPr>
        <w:t xml:space="preserve">Verordnung zur Festsetzung des Wasserschutzgebietes Görlsdorf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Begriffsbestimmungen</w:t>
      </w:r>
    </w:p>
    <w:p>
      <w:r>
        <w:t xml:space="preserve">Eine Dungeinheit entspricht 80 kg Stickstoff pro Jahr. Darin sind die Lagerungs- und Ausbringungsverluste bereits berücksichtigt. Für die verschiedenen Tierarten sind die in der Tabelle aufgeführten Umrechnungsfaktoren anzuwenden:</w:t>
      </w:r>
    </w:p>
    <w:p>
      <w:r>
        <w:t xml:space="preserve">Tierart</w:t>
      </w:r>
    </w:p>
    <w:p>
      <w:r>
        <w:t xml:space="preserve">Dungeinheiten</w:t>
      </w:r>
    </w:p>
    <w:p>
      <w:r>
        <w:t xml:space="preserve">pro Tier</w:t>
      </w:r>
    </w:p>
    <w:p>
      <w:r>
        <w:t xml:space="preserve">Milchkühe (über 2 Jahre)</w:t>
      </w:r>
    </w:p>
    <w:p>
      <w:r>
        <w:t xml:space="preserve">1,0</w:t>
      </w:r>
    </w:p>
    <w:p>
      <w:r>
        <w:t xml:space="preserve">Mutterkühe und Fleischrinder (über 2 Jahre)</w:t>
      </w:r>
    </w:p>
    <w:p>
      <w:r>
        <w:t xml:space="preserve">0,5</w:t>
      </w:r>
    </w:p>
    <w:p>
      <w:r>
        <w:t xml:space="preserve">Rinder (1 bis 2 Jahre)</w:t>
      </w:r>
    </w:p>
    <w:p>
      <w:r>
        <w:t xml:space="preserve">0,6</w:t>
      </w:r>
    </w:p>
    <w:p>
      <w:r>
        <w:t xml:space="preserve">Jungvieh (bis 1 Jahr)</w:t>
      </w:r>
    </w:p>
    <w:p>
      <w:r>
        <w:t xml:space="preserve">0,3</w:t>
      </w:r>
    </w:p>
    <w:p>
      <w:r>
        <w:t xml:space="preserve">Kälber (bis 3 Monate)</w:t>
      </w:r>
    </w:p>
    <w:p>
      <w:r>
        <w:t xml:space="preserve">0,11</w:t>
      </w:r>
    </w:p>
    <w:p>
      <w:r>
        <w:t xml:space="preserve">Pferde</w:t>
      </w:r>
    </w:p>
    <w:p>
      <w:r>
        <w:t xml:space="preserve">1,0</w:t>
      </w:r>
    </w:p>
    <w:p>
      <w:r>
        <w:t xml:space="preserve">Zuchtsau mit Nachzucht</w:t>
      </w:r>
    </w:p>
    <w:p>
      <w:r>
        <w:t xml:space="preserve">0,33</w:t>
      </w:r>
    </w:p>
    <w:p>
      <w:r>
        <w:t xml:space="preserve">Schweine (&gt; 20 kg)</w:t>
      </w:r>
    </w:p>
    <w:p>
      <w:r>
        <w:t xml:space="preserve">0,14</w:t>
      </w:r>
    </w:p>
    <w:p>
      <w:r>
        <w:t xml:space="preserve">Schafe</w:t>
      </w:r>
    </w:p>
    <w:p>
      <w:r>
        <w:t xml:space="preserve">0,1</w:t>
      </w:r>
    </w:p>
    <w:p>
      <w:r>
        <w:t xml:space="preserve">Ziegen</w:t>
      </w:r>
    </w:p>
    <w:p>
      <w:r>
        <w:t xml:space="preserve">0,1</w:t>
      </w:r>
    </w:p>
    <w:p>
      <w:r>
        <w:t xml:space="preserve">Rotwild und Damwild (über 1 Jahr)</w:t>
      </w:r>
    </w:p>
    <w:p>
      <w:r>
        <w:t xml:space="preserve">0,05</w:t>
      </w:r>
    </w:p>
    <w:p>
      <w:r>
        <w:t xml:space="preserve">Rotwild und Damwild (bis 1 Jahr)</w:t>
      </w:r>
    </w:p>
    <w:p>
      <w:r>
        <w:t xml:space="preserve">0,01</w:t>
      </w:r>
    </w:p>
    <w:p>
      <w:r>
        <w:t xml:space="preserve">Legehennen</w:t>
      </w:r>
    </w:p>
    <w:p>
      <w:r>
        <w:t xml:space="preserve">0,004</w:t>
      </w:r>
    </w:p>
    <w:p>
      <w:r>
        <w:t xml:space="preserve">Junghennen</w:t>
      </w:r>
    </w:p>
    <w:p>
      <w:r>
        <w:t xml:space="preserve">0,005</w:t>
      </w:r>
    </w:p>
    <w:p>
      <w:r>
        <w:t xml:space="preserve">Masthähnchen</w:t>
      </w:r>
    </w:p>
    <w:p>
      <w:r>
        <w:t xml:space="preserve">0,0033</w:t>
      </w:r>
    </w:p>
    <w:p>
      <w:r>
        <w:t xml:space="preserve">Mastenten (7 Wochen)</w:t>
      </w:r>
    </w:p>
    <w:p>
      <w:r>
        <w:t xml:space="preserve">0,0066</w:t>
      </w:r>
    </w:p>
    <w:p>
      <w:r>
        <w:t xml:space="preserve">sonstiges Mastgeflügel, Mastputen</w:t>
      </w:r>
    </w:p>
    <w:p>
      <w:r>
        <w:t xml:space="preserve">0,01</w:t>
      </w:r>
    </w:p>
    <w:p>
      <w:r>
        <w:t xml:space="preserve">„Freilandtierhaltung“ liegt vor, wenn die unter Nummer 1 genannten Tierarten im Freien gehalten werden.</w:t>
      </w:r>
    </w:p>
    <w:p>
      <w:r>
        <w:t xml:space="preserve">Unter den Begriff „Dauergrünland“ fallen Grünlandflächen, die nach ihren Standortbedingungen nur für Grünlandnutzung geeignet sind, sowie alle Flächen, auf denen seit mindestens fünf Jahren ununterbrochen und nicht im Rahmen einer Fruchtfolge Grünlandnutzung besteht.</w:t>
      </w:r>
    </w:p>
    <w:p>
      <w:r>
        <w:t xml:space="preserve">„Offener Ackerboden“ ist gepflügter Ackerboden ohne Einsaat einer nachfolgenden Zwischen- oder Hauptfrucht, soweit dies fruchtfolge- oder witterungsbedingt nicht ausgeschlossen ist.</w:t>
      </w:r>
    </w:p>
    <w:p>
      <w:r>
        <w:rPr>
          <w:color w:val="555555"/>
          <w:sz w:val="17"/>
        </w:rPr>
        <w:t xml:space="preserve">Zitiervorschlag: Anlage 3 VO-ID212220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https://recht.nulegal.eu/gesetze/VO-ID212220/anlage-3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