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VO-ID212217 (Brandenburg) — Persönliches Erscheinen</w:t>
      </w:r>
    </w:p>
    <w:p>
      <w:r>
        <w:rPr>
          <w:color w:val="555555"/>
          <w:sz w:val="18"/>
        </w:rPr>
        <w:t xml:space="preserve">Verordnung über Einigungsstellen zur Beilegung von bürgerlichen Rechtsstreitigkeiten nach dem Gesetz gegen den unlauteren Wettbewerb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Ordnet die vorsitzende Person das persönliche Erscheinen der</w:t>
      </w:r>
    </w:p>
    <w:p>
      <w:r>
        <w:t xml:space="preserve">Parteien an, so ist die Ladung der Partei selbst zuzustellen, auch wenn sie</w:t>
      </w:r>
    </w:p>
    <w:p>
      <w:r>
        <w:t xml:space="preserve">einen Vertreter bestellt hat. Die Partei ist auf die Folgen ihres Ausbleibens</w:t>
      </w:r>
    </w:p>
    <w:p>
      <w:r>
        <w:t xml:space="preserve">in der Ladung hinzuweisen.</w:t>
      </w:r>
    </w:p>
    <w:p>
      <w:r>
        <w:t xml:space="preserve">(2) Ordnungsgelder nach § 15 Abs. 5 Satz 2 des Gesetzes gegen den</w:t>
      </w:r>
    </w:p>
    <w:p>
      <w:r>
        <w:t xml:space="preserve">unlauteren Wettbewerb werden wie Beiträge der geschäftsführenden</w:t>
      </w:r>
    </w:p>
    <w:p>
      <w:r>
        <w:t xml:space="preserve">Industrie- und Handelskammer eingezogen und beigetrieben. Die eingehenden</w:t>
      </w:r>
    </w:p>
    <w:p>
      <w:r>
        <w:t xml:space="preserve">Beträge verbleiben der geschäftsführenden Industrie- und</w:t>
      </w:r>
    </w:p>
    <w:p>
      <w:r>
        <w:t xml:space="preserve">Handelskammer.</w:t>
      </w:r>
    </w:p>
    <w:p>
      <w:r>
        <w:rPr>
          <w:color w:val="555555"/>
          <w:sz w:val="17"/>
        </w:rPr>
        <w:t xml:space="preserve">Zitiervorschlag: § 9 VO-ID212217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https://recht.nulegal.eu/gesetze/VO-ID212217/9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