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VO-ID212217 (Brandenburg) — Ladungsfrist</w:t>
      </w:r>
    </w:p>
    <w:p>
      <w:r>
        <w:rPr>
          <w:color w:val="555555"/>
          <w:sz w:val="18"/>
        </w:rPr>
        <w:t xml:space="preserve">Verordnung über Einigungsstellen zur Beilegung von bürgerlichen Rechtsstreitigkeiten nach dem Gesetz gegen den unlauteren Wettbewerb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Zur mündlichen Verhandlung werden die Parteien von der vorsitzenden</w:t>
      </w:r>
    </w:p>
    <w:p>
      <w:r>
        <w:t xml:space="preserve">Person geladen. Die Ladungsfrist beträgt drei Tage und kann von der</w:t>
      </w:r>
    </w:p>
    <w:p>
      <w:r>
        <w:t xml:space="preserve">vorsitzenden Person abgekürzt oder verlängert werden.</w:t>
      </w:r>
    </w:p>
    <w:p>
      <w:r>
        <w:rPr>
          <w:color w:val="555555"/>
          <w:sz w:val="17"/>
        </w:rPr>
        <w:t xml:space="preserve">Zitiervorschlag: § 8 VO-ID212217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https://recht.nulegal.eu/gesetze/VO-ID212217/8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