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VO-ID212217 (Brandenburg) — Einigungsverhandlung</w:t>
      </w:r>
    </w:p>
    <w:p>
      <w:r>
        <w:rPr>
          <w:color w:val="555555"/>
          <w:sz w:val="18"/>
        </w:rPr>
        <w:t xml:space="preserve">Verordnung über Einigungsstellen zur Beilegung von bürgerlichen Rechtsstreitigkeiten nach dem Gesetz gegen den unlauteren Wettbewerb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Verhandlung ist nicht öffentlich. Die vorsitzende Person kann</w:t>
      </w:r>
    </w:p>
    <w:p>
      <w:r>
        <w:t xml:space="preserve">bei Vorliegen eines berechtigten Interesses Dritter deren Anwesenheit</w:t>
      </w:r>
    </w:p>
    <w:p>
      <w:r>
        <w:t xml:space="preserve">gestatten. § 128 Abs. 1 und § 136 der Zivilprozessordnung gelten</w:t>
      </w:r>
    </w:p>
    <w:p>
      <w:r>
        <w:t xml:space="preserve">sinngemäß.</w:t>
      </w:r>
    </w:p>
    <w:p>
      <w:r>
        <w:t xml:space="preserve">(2) Die Einigungsstelle kann Zeugen und Sachverständige anhören.</w:t>
      </w:r>
    </w:p>
    <w:p>
      <w:r>
        <w:t xml:space="preserve">Das Erscheinen vor der Einigungsstelle ist für diese Personen freiwillig.</w:t>
      </w:r>
    </w:p>
    <w:p>
      <w:r>
        <w:t xml:space="preserve">Die Beeidigung von Zeugen oder Sachverständigen oder einer Partei ist</w:t>
      </w:r>
    </w:p>
    <w:p>
      <w:r>
        <w:t xml:space="preserve">nicht zulässig.</w:t>
      </w:r>
    </w:p>
    <w:p>
      <w:r>
        <w:t xml:space="preserve">(3) Die vorsitzende Person kann den anwesenden Personen die Geheimhaltung</w:t>
      </w:r>
    </w:p>
    <w:p>
      <w:r>
        <w:t xml:space="preserve">von Tatsachen, die ihnen durch das Verfahren bekannt werden, zur Pflicht</w:t>
      </w:r>
    </w:p>
    <w:p>
      <w:r>
        <w:t xml:space="preserve">machen.</w:t>
      </w:r>
    </w:p>
    <w:p>
      <w:r>
        <w:rPr>
          <w:color w:val="555555"/>
          <w:sz w:val="17"/>
        </w:rPr>
        <w:t xml:space="preserve">Zitiervorschlag: § 7 VO-ID212217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https://recht.nulegal.eu/gesetze/VO-ID212217/7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