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VO-ID212217 (Brandenburg) — Anträge</w:t>
      </w:r>
    </w:p>
    <w:p>
      <w:r>
        <w:rPr>
          <w:color w:val="555555"/>
          <w:sz w:val="18"/>
        </w:rPr>
        <w:t xml:space="preserve">Verordnung über Einigungsstellen zur Beilegung von bürgerlichen Rechtsstreitigkeiten nach dem Gesetz gegen den unlauteren Wettbewerb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Anträge sind bei der Einigungsstelle schriftlich mit Begründung</w:t>
      </w:r>
    </w:p>
    <w:p>
      <w:r>
        <w:t xml:space="preserve">in mindestens drei Ausfertigungen unter Bezeichnung der Beweismittel und unter</w:t>
      </w:r>
    </w:p>
    <w:p>
      <w:r>
        <w:t xml:space="preserve">Beifügung etwa vorhandener Urkunden und sonstiger Beweisstücke</w:t>
      </w:r>
    </w:p>
    <w:p>
      <w:r>
        <w:t xml:space="preserve">einzureichen oder zur Niederschrift zu erklären.</w:t>
      </w:r>
    </w:p>
    <w:p>
      <w:r>
        <w:rPr>
          <w:color w:val="555555"/>
          <w:sz w:val="17"/>
        </w:rPr>
        <w:t xml:space="preserve">Zitiervorschlag: § 6 VO-ID212217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https://recht.nulegal.eu/gesetze/VO-ID212217/6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