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VO-ID212217 (Brandenburg) — Kosten des Verfahrens</w:t>
      </w:r>
    </w:p>
    <w:p>
      <w:r>
        <w:rPr>
          <w:color w:val="555555"/>
          <w:sz w:val="18"/>
        </w:rPr>
        <w:t xml:space="preserve">Verordnung über Einigungsstellen zur Beilegung von bürgerlichen Rechtsstreitigkeiten nach dem Gesetz gegen den unlauteren Wettbewerb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Verfahren vor der Einigungsstelle werden Gebühren</w:t>
      </w:r>
    </w:p>
    <w:p>
      <w:r>
        <w:t xml:space="preserve">nicht erhoben.</w:t>
      </w:r>
    </w:p>
    <w:p>
      <w:r>
        <w:t xml:space="preserve">(2) Die nach § 13 entstandenen Auslagen werden von der vorsitzenden</w:t>
      </w:r>
    </w:p>
    <w:p>
      <w:r>
        <w:t xml:space="preserve">Person festgestellt. Die geschäftsführende Industrie- und</w:t>
      </w:r>
    </w:p>
    <w:p>
      <w:r>
        <w:t xml:space="preserve">Handelskammer kann die Erstattung dieser Auslagen verlangen.</w:t>
      </w:r>
    </w:p>
    <w:p>
      <w:r>
        <w:t xml:space="preserve">(3) Die Einigungsstelle hat eine gütliche Einigung der Parteien</w:t>
      </w:r>
    </w:p>
    <w:p>
      <w:r>
        <w:t xml:space="preserve">über die Verteilung der nach Absatz 2 festgestellten Auslagen anzustreben;</w:t>
      </w:r>
    </w:p>
    <w:p>
      <w:r>
        <w:t xml:space="preserve">dies gilt auch dann, wenn eine Einigung in der Sache selbst nicht zustande</w:t>
      </w:r>
    </w:p>
    <w:p>
      <w:r>
        <w:t xml:space="preserve">kommt.</w:t>
      </w:r>
    </w:p>
    <w:p>
      <w:r>
        <w:t xml:space="preserve">(4) Kommt eine Einigung über die Verteilung der festgestellten</w:t>
      </w:r>
    </w:p>
    <w:p>
      <w:r>
        <w:t xml:space="preserve">Auslagen nicht zustande, entscheidet die Einigungsstelle nach billigem</w:t>
      </w:r>
    </w:p>
    <w:p>
      <w:r>
        <w:t xml:space="preserve">Ermessen. Die ihr entstandenen Kosten trägt jede Partei selbst.</w:t>
      </w:r>
    </w:p>
    <w:p>
      <w:r>
        <w:t xml:space="preserve">(5) Gegen die Feststellung nach Absatz 2 und gegen die Entscheidung nach</w:t>
      </w:r>
    </w:p>
    <w:p>
      <w:r>
        <w:t xml:space="preserve">Absatz 4 findet die sofortige Beschwerde nach den Vorschriften der</w:t>
      </w:r>
    </w:p>
    <w:p>
      <w:r>
        <w:t xml:space="preserve">Zivilprozessordnung an das für den Sitz der Einigungsstelle</w:t>
      </w:r>
    </w:p>
    <w:p>
      <w:r>
        <w:t xml:space="preserve">zuständige Landgericht (Kammer für Handelssachen) statt.</w:t>
      </w:r>
    </w:p>
    <w:p>
      <w:r>
        <w:t xml:space="preserve">(6) Für die Beitreibung der festgelegten Auslagen gilt § 9 Abs. 2</w:t>
      </w:r>
    </w:p>
    <w:p>
      <w:r>
        <w:t xml:space="preserve">Satz 1.</w:t>
      </w:r>
    </w:p>
    <w:p>
      <w:r>
        <w:rPr>
          <w:color w:val="555555"/>
          <w:sz w:val="17"/>
        </w:rPr>
        <w:t xml:space="preserve">Zitiervorschlag: § 14 VO-ID212217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https://recht.nulegal.eu/gesetze/VO-ID212217/14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VO-ID212217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