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VO-ID212217 (Brandenburg) — Entschädigung</w:t>
      </w:r>
    </w:p>
    <w:p>
      <w:r>
        <w:rPr>
          <w:color w:val="555555"/>
          <w:sz w:val="18"/>
        </w:rPr>
        <w:t xml:space="preserve">Verordnung über Einigungsstellen zur Beilegung von bürgerlichen Rechtsstreitigkeiten nach dem Gesetz gegen den unlauteren Wettbewerb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vorsitzende Person und die beisitzenden Personen erhalten auf</w:t>
      </w:r>
    </w:p>
    <w:p>
      <w:r>
        <w:t xml:space="preserve">Antrag eine Entschädigung für Fahrtkosten, Aufwand und sonstige</w:t>
      </w:r>
    </w:p>
    <w:p>
      <w:r>
        <w:t xml:space="preserve">Aufwendungen in entsprechender Anwendung der §§ 5 bis 7 des</w:t>
      </w:r>
    </w:p>
    <w:p>
      <w:r>
        <w:t xml:space="preserve">Justizvergütungs- und -entschädigungsgesetzes. Die</w:t>
      </w:r>
    </w:p>
    <w:p>
      <w:r>
        <w:t xml:space="preserve">geschäftsführende Industrie- und Handelskammer kann der vorsitzenden</w:t>
      </w:r>
    </w:p>
    <w:p>
      <w:r>
        <w:t xml:space="preserve">Person und den beisitzenden Personen auf Antrag eine Entschädigung</w:t>
      </w:r>
    </w:p>
    <w:p>
      <w:r>
        <w:t xml:space="preserve">für deren Zeitversäumnis in entsprechender Anwendung des § 16</w:t>
      </w:r>
    </w:p>
    <w:p>
      <w:r>
        <w:t xml:space="preserve">des Justizvergütungs- und -entschädigungsgesetzes gewähren.</w:t>
      </w:r>
    </w:p>
    <w:p>
      <w:r>
        <w:t xml:space="preserve">(2) Die geschäftsführende Industrie- und Handelskammer kann der</w:t>
      </w:r>
    </w:p>
    <w:p>
      <w:r>
        <w:t xml:space="preserve">vorsitzenden Person der Einigungsstelle eine Vergütung für ihre</w:t>
      </w:r>
    </w:p>
    <w:p>
      <w:r>
        <w:t xml:space="preserve">Tätigkeit gewähren.</w:t>
      </w:r>
    </w:p>
    <w:p>
      <w:r>
        <w:t xml:space="preserve">(3) Zeugen und Sachverständige, die mit Zustimmung der Einigungsstelle</w:t>
      </w:r>
    </w:p>
    <w:p>
      <w:r>
        <w:t xml:space="preserve">erschienen oder angehört worden sind, erhalten von der</w:t>
      </w:r>
    </w:p>
    <w:p>
      <w:r>
        <w:t xml:space="preserve">geschäftsführenden Industrie- und Handelskammer auf Antrag eine</w:t>
      </w:r>
    </w:p>
    <w:p>
      <w:r>
        <w:t xml:space="preserve">Entschädigung (Zeugen) oder Vergütung (Sachverständige) nach dem</w:t>
      </w:r>
    </w:p>
    <w:p>
      <w:r>
        <w:t xml:space="preserve">Justizvergütungs- und -entschädigungsgesetz.</w:t>
      </w:r>
    </w:p>
    <w:p>
      <w:r>
        <w:rPr>
          <w:color w:val="555555"/>
          <w:sz w:val="17"/>
        </w:rPr>
        <w:t xml:space="preserve">Zitiervorschlag: § 13 VO-ID212217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https://recht.nulegal.eu/gesetze/VO-ID212217/13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