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VO-ID212217 (Brandenburg) — Anwendung zivilprozessualer Vorschriften</w:t>
      </w:r>
    </w:p>
    <w:p>
      <w:r>
        <w:rPr>
          <w:color w:val="555555"/>
          <w:sz w:val="18"/>
        </w:rPr>
        <w:t xml:space="preserve">Verordnung über Einigungsstellen zur Beilegung von bürgerlichen Rechtsstreitigkeiten nach dem Gesetz gegen den unlauteren Wettbewerb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Vorschriften der Zivilprozessordnung über</w:t>
      </w:r>
    </w:p>
    <w:p>
      <w:r>
        <w:t xml:space="preserve">Prozessbevollmächtigte und Beistände, über die Rücknahme</w:t>
      </w:r>
    </w:p>
    <w:p>
      <w:r>
        <w:t xml:space="preserve">des Antrages sowie über die Zustellung von Amts wegen gelten</w:t>
      </w:r>
    </w:p>
    <w:p>
      <w:r>
        <w:t xml:space="preserve">sinngemäß.</w:t>
      </w:r>
    </w:p>
    <w:p>
      <w:r>
        <w:rPr>
          <w:color w:val="555555"/>
          <w:sz w:val="17"/>
        </w:rPr>
        <w:t xml:space="preserve">Zitiervorschlag: § 12 VO-ID212217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https://recht.nulegal.eu/gesetze/VO-ID212217/12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