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VO-ID212217 (Brandenburg) — Einigungsstellen</w:t>
      </w:r>
    </w:p>
    <w:p>
      <w:r>
        <w:rPr>
          <w:color w:val="555555"/>
          <w:sz w:val="18"/>
        </w:rPr>
        <w:t xml:space="preserve">Verordnung über Einigungsstellen zur Beilegung von bürgerlichen Rechtsstreitigkeiten nach dem Gesetz gegen den unlauteren Wettbewerb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Bei den Industrie- und Handelskammern sind für deren Bezirke</w:t>
      </w:r>
    </w:p>
    <w:p>
      <w:r>
        <w:t xml:space="preserve">Einigungsstellen zur Beilegung von bürgerlichen Rechtsstreitigkeiten, in</w:t>
      </w:r>
    </w:p>
    <w:p>
      <w:r>
        <w:t xml:space="preserve">denen ein Anspruch auf Grund des Gesetzes gegen den unlauteren Wettbewerb</w:t>
      </w:r>
    </w:p>
    <w:p>
      <w:r>
        <w:t xml:space="preserve">geltend gemacht wird, errichtet worden. Mehrere Industrie- und Handelskammern</w:t>
      </w:r>
    </w:p>
    <w:p>
      <w:r>
        <w:t xml:space="preserve">können mit Zustimmung der Aufsichtsbehörde (§ 2) eine gemeinsame</w:t>
      </w:r>
    </w:p>
    <w:p>
      <w:r>
        <w:t xml:space="preserve">Einigungsstelle bilden.</w:t>
      </w:r>
    </w:p>
    <w:p>
      <w:r>
        <w:t xml:space="preserve">(2) Die Industrie- und Handelskammer, bei der eine Einigungsstelle</w:t>
      </w:r>
    </w:p>
    <w:p>
      <w:r>
        <w:t xml:space="preserve">errichtet ist, führt deren Geschäfte (geschäftsführende</w:t>
      </w:r>
    </w:p>
    <w:p>
      <w:r>
        <w:t xml:space="preserve">Industrie- und Handelskammer).</w:t>
      </w:r>
    </w:p>
    <w:p>
      <w:r>
        <w:rPr>
          <w:color w:val="555555"/>
          <w:sz w:val="17"/>
        </w:rPr>
        <w:t xml:space="preserve">Zitiervorschlag: § 1 VO-ID212217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https://recht.nulegal.eu/gesetze/VO-ID212217/1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