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VO-ID212213 (Brandenburg)</w:t>
      </w:r>
    </w:p>
    <w:p>
      <w:r>
        <w:rPr>
          <w:color w:val="555555"/>
          <w:sz w:val="18"/>
        </w:rPr>
        <w:t xml:space="preserve">Verordnung zur Übertragung der Zuständigkeiten nach dem Versammlungsgesetz (ZustVO VersamG)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Zentraldienst der Polizei mit seiner Zentralen Bußgeldstelle der Polizei ist zuständig für die Ahndung von Ordnungswidrigkeiten nach § 29 des Versammlungsgesetzes. Daneben sind die Polizeipräsidien zuständig für die Verfolgung von Ordnungswidrigkeiten.</w:t>
      </w:r>
    </w:p>
    <w:p>
      <w:r>
        <w:rPr>
          <w:color w:val="555555"/>
          <w:sz w:val="17"/>
        </w:rPr>
        <w:t xml:space="preserve">Zitiervorschlag: § 2 VO-ID212213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https://recht.nulegal.eu/gesetze/VO-ID212213/2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