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VO-ID212212 (Brandenburg) — Duldungspflichten</w:t>
      </w:r>
    </w:p>
    <w:p>
      <w:r>
        <w:rPr>
          <w:color w:val="555555"/>
          <w:sz w:val="18"/>
        </w:rPr>
        <w:t xml:space="preserve">Verordnung zur Festsetzung des Wasserschutzgebietes Schwedt-Springallee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Eigentümer oder Nutzungsberechtigten von Grundstücken im Wasserschutzgebiet haben die Überwachung des Wasserschutzgebietes, insbesondere hinsichtlich der Befolgung der Vorschriften dieser Verordnung und der nach ihr getroffenen Anordnungen, sowie das Beobachten der Gewässer und des Bodens durch die zuständigen Wasserbehörden oder deren Beauftragte zu dulden.</w:t>
      </w:r>
    </w:p>
    <w:p>
      <w:r>
        <w:t xml:space="preserve">(2) Die Eigentümer oder Nutzungsberechtigten von Grundstücken im Wasserschutzgebiet sind darüber hinaus auf Anordnung der unteren Wasserbehörde verpflichtet:</w:t>
      </w:r>
    </w:p>
    <w:p>
      <w:r>
        <w:t xml:space="preserve">das Errichten, Betreiben und Unterhalten von Einrichtungen zur Sicherung der Zone I gegen unbefugtes Betreten,</w:t>
      </w:r>
    </w:p>
    <w:p>
      <w:r>
        <w:t xml:space="preserve">das Aufstellen, das Unterhalten oder das Beseitigen von Hinweis-, Warn-, Gebots- und Verbotszeichen,</w:t>
      </w:r>
    </w:p>
    <w:p>
      <w:r>
        <w:t xml:space="preserve">das Betreten der Grundstücke durch Bedienstete der zuständigen Behörden zum Beobachten, Messen und Untersuchen des Grundwassers und zur Entnahme von Boden- und Vegetationsproben sowie</w:t>
      </w:r>
    </w:p>
    <w:p>
      <w:r>
        <w:t xml:space="preserve">das Anlegen und Betreiben von Grundwassermessstellen</w:t>
      </w:r>
    </w:p>
    <w:p>
      <w:r>
        <w:t xml:space="preserve">zu dulden. Die Anordnung erfolgt durch schriftlichen oder elektronischen Bescheid gegenüber den betroffenen Eigentümern oder Nutzungsberechtigten. Soweit bergrechtliche Belange berührt sind, ergeht die Entscheidung im Benehmen mit dem Landesamt für Bergbau, Geologie und Rohstoffe.</w:t>
      </w:r>
    </w:p>
    <w:p>
      <w:r>
        <w:rPr>
          <w:color w:val="555555"/>
          <w:sz w:val="17"/>
        </w:rPr>
        <w:t xml:space="preserve">Zitiervorschlag: § 10 VO-ID212212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https://recht.nulegal.eu/gesetze/VO-ID212212/10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VO-ID212212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