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VO-ID212206 (Brandenburg) — In-Kraft-Treten, Außer-Kraft-Treten</w:t>
      </w:r>
    </w:p>
    <w:p>
      <w:r>
        <w:rPr>
          <w:color w:val="555555"/>
          <w:sz w:val="18"/>
        </w:rPr>
        <w:t xml:space="preserve">Verordnung über die Erhebung der Fischereiabgabe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21.08.2026 (konsolidierte Textfassung, kein amtliches Inkrafttretensdatum)</w:t>
      </w:r>
    </w:p>
    <w:p>
      <w:r>
        <w:t xml:space="preserve">Diese Verordnung tritt am Tage nach der Verkündung in Kraft. Gleichzeitig tritt die Verordnung über die Höhe der Fischereiabgabe vom 13. Dezember 1994 ( GVBl. II S. 1015), zuletzt geändert durch Verordnung vom 17. September 2001 (GVBl. II S. 553), außer Kraft.</w:t>
      </w:r>
    </w:p>
    <w:p>
      <w:r>
        <w:t xml:space="preserve">Potsdam, den 2. August 2006</w:t>
      </w:r>
    </w:p>
    <w:p>
      <w:r>
        <w:t xml:space="preserve">Der Minister für Ländliche Entwicklung,</w:t>
      </w:r>
    </w:p>
    <w:p>
      <w:r>
        <w:t xml:space="preserve">Umwelt und Verbraucherschutz</w:t>
      </w:r>
    </w:p>
    <w:p>
      <w:r>
        <w:t xml:space="preserve">In Vertretung</w:t>
      </w:r>
    </w:p>
    <w:p>
      <w:r>
        <w:t xml:space="preserve">Dietmar Schulze</w:t>
      </w:r>
    </w:p>
    <w:p>
      <w:r>
        <w:rPr>
          <w:color w:val="555555"/>
          <w:sz w:val="17"/>
        </w:rPr>
        <w:t xml:space="preserve">Zitiervorschlag: § 3 VO-ID212206 (Brandenburg)</w:t>
      </w:r>
    </w:p>
    <w:p>
      <w:r>
        <w:rPr>
          <w:color w:val="555555"/>
          <w:sz w:val="17"/>
        </w:rPr>
        <w:t xml:space="preserve">Quelle: bravors, abgerufen 21.08.2026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https://recht.nulegal.eu/gesetze/VO-ID212206/3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