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VO-ID212205 (Brandenburg) — In-Kraft-Treten</w:t>
      </w:r>
    </w:p>
    <w:p>
      <w:r>
        <w:rPr>
          <w:color w:val="555555"/>
          <w:sz w:val="18"/>
        </w:rPr>
        <w:t xml:space="preserve">Verordnung zur Bestimmung der Stadt Königs Wusterhausen zu einer Mittleren kreisangehörigen Stadt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28. Juli 2006</w:t>
      </w:r>
    </w:p>
    <w:p>
      <w:r>
        <w:t xml:space="preserve">Der Minister des Innern</w:t>
      </w:r>
    </w:p>
    <w:p>
      <w:r>
        <w:t xml:space="preserve">Jörg Schönbohm</w:t>
      </w:r>
    </w:p>
    <w:p>
      <w:r>
        <w:rPr>
          <w:color w:val="555555"/>
          <w:sz w:val="17"/>
        </w:rPr>
        <w:t xml:space="preserve">Zitiervorschlag: § 3 VO-ID212205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https://recht.nulegal.eu/gesetze/VO-ID212205/3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