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VO-ID212205 (Brandenburg) — Wirksamwerden</w:t>
      </w:r>
    </w:p>
    <w:p>
      <w:r>
        <w:rPr>
          <w:color w:val="555555"/>
          <w:sz w:val="18"/>
        </w:rPr>
        <w:t xml:space="preserve">Verordnung zur Bestimmung der Stadt Königs Wusterhausen zu einer Mittleren kreisangehörigen Stadt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Statusregelung nach § 1 wird am 1. Januar 2007 wirksam.</w:t>
      </w:r>
    </w:p>
    <w:p>
      <w:r>
        <w:rPr>
          <w:color w:val="555555"/>
          <w:sz w:val="17"/>
        </w:rPr>
        <w:t xml:space="preserve">Zitiervorschlag: § 2 VO-ID212205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https://recht.nulegal.eu/gesetze/VO-ID212205/2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