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VO-ID212180 (Brandenburg) — Vorstand</w:t>
      </w:r>
    </w:p>
    <w:p>
      <w:r>
        <w:rPr>
          <w:color w:val="555555"/>
          <w:sz w:val="18"/>
        </w:rPr>
        <w:t xml:space="preserve">Verordnung über die Mustersatzung für Fischereigenossenschaften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Vorstand besteht aus dem Vorsitzenden und bis zu fünf weiteren Mitgliedern.</w:t>
      </w:r>
    </w:p>
    <w:p>
      <w:r>
        <w:t xml:space="preserve">(2) Für den Vorsitzenden und jedes Mitglied des Vorstandes ist ein Stellvertreter zu wählen.</w:t>
      </w:r>
    </w:p>
    <w:p>
      <w:r>
        <w:t xml:space="preserve">(3) Die Mitglieder des Vorstandes sind ehrenamtlich tätig.</w:t>
      </w:r>
    </w:p>
    <w:p>
      <w:r>
        <w:rPr>
          <w:color w:val="555555"/>
          <w:sz w:val="17"/>
        </w:rPr>
        <w:t xml:space="preserve">Zitiervorschlag: § 4 VO-ID212180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https://recht.nulegal.eu/gesetze/VO-ID212180/4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