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VO-ID212180 (Brandenburg) — Bekanntmachungen</w:t>
      </w:r>
    </w:p>
    <w:p>
      <w:r>
        <w:rPr>
          <w:color w:val="555555"/>
          <w:sz w:val="18"/>
        </w:rPr>
        <w:t xml:space="preserve">Verordnung über die Mustersatzung für Fischereigenossenschaften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Satzung oder Änderungen der Satzung der Fischereigenossenschaft sind durch Veröffentlichung im Amtsblatt des Sitzes der Fischereigenossenschaft bekanntzumachen.</w:t>
      </w:r>
    </w:p>
    <w:p>
      <w:r>
        <w:t xml:space="preserve">(2) Sonstige Bekanntmachungen sind ortsüblich vorzunehmen.</w:t>
      </w:r>
    </w:p>
    <w:p>
      <w:r>
        <w:rPr>
          <w:color w:val="555555"/>
          <w:sz w:val="17"/>
        </w:rPr>
        <w:t xml:space="preserve">Zitiervorschlag: § 15 VO-ID212180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Dieses Dokument: https://recht.nulegal.eu/gesetze/VO-ID212180/15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