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VO-ID212180 (Brandenburg) — Beiträge</w:t>
      </w:r>
    </w:p>
    <w:p>
      <w:r>
        <w:rPr>
          <w:color w:val="555555"/>
          <w:sz w:val="18"/>
        </w:rPr>
        <w:t xml:space="preserve">Verordnung über die Mustersatzung für Fischereigenossenschaften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Von den Mitgliedern der Genossenschaft dürfen Beiträge nur erhoben werden, wenn und soweit dies zum Ausgleich des Haushaltsplanes notwendig ist.</w:t>
      </w:r>
    </w:p>
    <w:p>
      <w:r>
        <w:t xml:space="preserve">(2) Beiträge, deren Einzahlung nicht fristgerecht erfolgt, werden wie Gemeindeabgaben beigetrieben.</w:t>
      </w:r>
    </w:p>
    <w:p>
      <w:r>
        <w:rPr>
          <w:color w:val="555555"/>
          <w:sz w:val="17"/>
        </w:rPr>
        <w:t xml:space="preserve">Zitiervorschlag: § 13 VO-ID212180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https://recht.nulegal.eu/gesetze/VO-ID212180/13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