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VO-ID212180 (Brandenburg) — Haushalts-, Kassen- und Rechnungswesen</w:t>
      </w:r>
    </w:p>
    <w:p>
      <w:r>
        <w:rPr>
          <w:color w:val="555555"/>
          <w:sz w:val="18"/>
        </w:rPr>
        <w:t xml:space="preserve">Verordnung über die Mustersatzung für Fischereigenossenschaften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Haushaltsplan enthält die voraussichtlichen Einnahmen und Ausgaben eines Haushaltsjahres. Haushaltsjahr ist das Kalenderjahr. Der Haushaltsplan muß ausgeglichen sein.</w:t>
      </w:r>
    </w:p>
    <w:p>
      <w:r>
        <w:t xml:space="preserve">(2) Zum Ende des Haushaltsjahres ist eine Jahresrechnung zu erstellen, die dem Rechnungsprüfer zur Prüfung und der Genossenschaftsversammlung bis zum 1. April des folgenden Jahres vorzulegen ist. Für das Haushalts-, Kassen- und Rechnungswesen einschließlich der Rechnungsprüfung finden die für die Gemeinden des Landes Brandenburg geltenden Vorschriften entsprechende Anwendung.</w:t>
      </w:r>
    </w:p>
    <w:p>
      <w:r>
        <w:rPr>
          <w:color w:val="555555"/>
          <w:sz w:val="17"/>
        </w:rPr>
        <w:t xml:space="preserve">Zitiervorschlag: § 11 VO-ID212180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https://recht.nulegal.eu/gesetze/VO-ID212180/11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