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VO-ID212176 (Brandenburg) — Verpflichtung</w:t>
      </w:r>
    </w:p>
    <w:p>
      <w:r>
        <w:rPr>
          <w:color w:val="555555"/>
          <w:sz w:val="18"/>
        </w:rPr>
        <w:t xml:space="preserve">Verordnung über die amtlich verpflichteten Fischereiaufseher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Fischereiaufseher sind stets widerruflich für die Dauer von fünf Jahren zu bestellen.</w:t>
      </w:r>
    </w:p>
    <w:p>
      <w:r>
        <w:t xml:space="preserve">(2) Mit der Bestellung verpflichten die unteren Fischereibehörden die Fischereiaufseher zur gewissenhaften Tätigkeit, zu unparteiischem Handeln und gebotener Verschwiegenheit. über die Verpflichtung ist eine Niederschrift aufzunehmen und von dem Verpflichteten und dem Bediensteten der unteren Fischereibehörde, der die Belehrung vorgenommen hat, zu unterschreiben. Die Niederschrift kann auch elektronisch erstellt und unterzeichnet werden.</w:t>
      </w:r>
    </w:p>
    <w:p>
      <w:r>
        <w:rPr>
          <w:color w:val="555555"/>
          <w:sz w:val="17"/>
        </w:rPr>
        <w:t xml:space="preserve">Zitiervorschlag: § 2 VO-ID212176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https://recht.nulegal.eu/gesetze/VO-ID212176/2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