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VO-ID212169 (Brandenburg) — Zweck des Erholungswaldes</w:t>
      </w:r>
    </w:p>
    <w:p>
      <w:r>
        <w:rPr>
          <w:color w:val="555555"/>
          <w:sz w:val="18"/>
        </w:rPr>
        <w:t xml:space="preserve">Verordnung zur Ausweisung des Waldgebietes ”Milmersdorfer Wald” als geschütztes Waldgebiet für Erholung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Erklärung zum Erholungswald dient der Erhaltung, der Pflege und der Gestaltung des Waldes zum Zwecke der Erholung insbesondere für die Einwohner und Gäste der Gemeinde Milmersdorf.</w:t>
      </w:r>
    </w:p>
    <w:p>
      <w:r>
        <w:t xml:space="preserve">(2) Der besondere Erholungswert, der sich durch</w:t>
      </w:r>
    </w:p>
    <w:p>
      <w:r>
        <w:t xml:space="preserve">kleinflächig wechselnde vielfältige Bestandesformen, insbesondere wertvolle Kiefernaltbestände mit Laub- und Nadelholzunterstand sowie Erlenbruchwälder, und offene Landschaftselemente in Form von Wiesen und Weiden,</w:t>
      </w:r>
    </w:p>
    <w:p>
      <w:r>
        <w:t xml:space="preserve">die starke Frequentierung durch Erholungssuchende und</w:t>
      </w:r>
    </w:p>
    <w:p>
      <w:r>
        <w:t xml:space="preserve">die Erschließung durch einen Rundweg</w:t>
      </w:r>
    </w:p>
    <w:p>
      <w:r>
        <w:t xml:space="preserve">ergibt, ist zu erhalten und weiter zu entwickeln.</w:t>
      </w:r>
    </w:p>
    <w:p>
      <w:r>
        <w:t xml:space="preserve">(3) Die Erklärung zum Erholungswald dient gleichzeitig der Erhaltung und naturnahen Entwicklung der betreffenden Waldbestände.</w:t>
      </w:r>
    </w:p>
    <w:p>
      <w:r>
        <w:rPr>
          <w:color w:val="555555"/>
          <w:sz w:val="17"/>
        </w:rPr>
        <w:t xml:space="preserve">Zitiervorschlag: § 3 VO-ID212169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https://recht.nulegal.eu/gesetze/VO-ID212169/3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