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VO-ID212167 (Brandenburg) — Verhältnis zu anderen Schutzgebietsausweisungen</w:t>
      </w:r>
    </w:p>
    <w:p>
      <w:r>
        <w:rPr>
          <w:color w:val="555555"/>
          <w:sz w:val="18"/>
        </w:rPr>
        <w:t xml:space="preserve">Verordnung zur Ausweisung des Waldgebietes ”Menzer Heide”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Bestimmungen, die sich aus der Verordnung über das Naturschutzgebiet „Stechlin“ vom 15. November 2002 (GVBl. II S. 646) ergeben, bleiben unberührt.</w:t>
      </w:r>
    </w:p>
    <w:p>
      <w:r>
        <w:rPr>
          <w:color w:val="555555"/>
          <w:sz w:val="17"/>
        </w:rPr>
        <w:t xml:space="preserve">Zitiervorschlag: § 4 VO-ID212167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