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VO-ID212166 (Brandenburg) — In-Kraft-Treten</w:t>
      </w:r>
    </w:p>
    <w:p>
      <w:r>
        <w:rPr>
          <w:color w:val="555555"/>
          <w:sz w:val="18"/>
        </w:rPr>
        <w:t xml:space="preserve">Verordnung zur Ausweisung des Waldgebietes ”Hagen” als Schutzwald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6. Juli 2004</w:t>
      </w:r>
    </w:p>
    <w:p>
      <w:r>
        <w:t xml:space="preserve">Der Minister für Landwirtschaft, Umweltschutz und Raumordnung</w:t>
      </w:r>
    </w:p>
    <w:p>
      <w:r>
        <w:t xml:space="preserve">Wolfgang Birthler</w:t>
      </w:r>
    </w:p>
    <w:p>
      <w:r>
        <w:rPr>
          <w:color w:val="555555"/>
          <w:sz w:val="17"/>
        </w:rPr>
        <w:t xml:space="preserve">Zitiervorschlag: § 5 VO-ID212166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https://recht.nulegal.eu/gesetze/VO-ID212166/5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