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VO-ID212166 (Brandenburg) — Zweck des Schutzwaldes</w:t>
      </w:r>
    </w:p>
    <w:p>
      <w:r>
        <w:rPr>
          <w:color w:val="555555"/>
          <w:sz w:val="18"/>
        </w:rPr>
        <w:t xml:space="preserve">Verordnung zur Ausweisung des Waldgebietes ”Hagen”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Erklärung zum Schutzwald dient der Erhaltung, der Pflege und der Gestaltung des Waldes und zum Zwecke der Erforschung der naturnahen Entwicklung des Traubeneichen-Buchenwaldes.</w:t>
      </w:r>
    </w:p>
    <w:p>
      <w:r>
        <w:t xml:space="preserve">(2) Die Unterschutzstellung des im Schutzwald gelegenen Naturwaldes „Rädigke“ dient insbesondere:</w:t>
      </w:r>
    </w:p>
    <w:p>
      <w:r>
        <w:t xml:space="preserve">der langfristigen forstwissenschaftlichen Erforschung der durch den Menschen nicht direkt beeinflussten Waldentwicklung sowie der interdisziplinären Forschung,</w:t>
      </w:r>
    </w:p>
    <w:p>
      <w:r>
        <w:t xml:space="preserve">der Erhaltung und Regeneration genetischer Ressourcen,</w:t>
      </w:r>
    </w:p>
    <w:p>
      <w:r>
        <w:t xml:space="preserve">der Erhaltung der floristischen und faunistischen Artenvielfalt,</w:t>
      </w:r>
    </w:p>
    <w:p>
      <w:r>
        <w:t xml:space="preserve">als lokale und regionale Weiserfläche zur Ableitung und exemplarischen Veranschaulichung von Erkenntnissen für die Waldbaupraxis und forstliche Lehre,</w:t>
      </w:r>
    </w:p>
    <w:p>
      <w:r>
        <w:t xml:space="preserve">als Weiserfläche für Naturnähe,</w:t>
      </w:r>
    </w:p>
    <w:p>
      <w:r>
        <w:t xml:space="preserve">als Dauerbeobachtungsfläche für immissions- und klima-bedingte Auswirkungen auf den Naturhaushalt, sowie die Regenerationsbedingungen des Traubeneichen-Buchenwaldes im Wuchsgebiet Hoher Fläming.</w:t>
      </w:r>
    </w:p>
    <w:p>
      <w:r>
        <w:rPr>
          <w:color w:val="555555"/>
          <w:sz w:val="17"/>
        </w:rPr>
        <w:t xml:space="preserve">Zitiervorschlag: § 3 VO-ID212166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