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VO-ID212163 (Brandenburg) — Schutzgegenstand</w:t>
      </w:r>
    </w:p>
    <w:p>
      <w:r>
        <w:rPr>
          <w:color w:val="555555"/>
          <w:sz w:val="18"/>
        </w:rPr>
        <w:t xml:space="preserve">Verordnung zur Ausweisung des Waldgebietes ”Kuckuckseichwald”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geschützte Waldgebiet hat eine Größe von 132,08 ha, wovon 37,85 ha naturnahen Blaubeer-Kiefern-Traubeneichenwaldes als Naturwald bezeichnet werden. Es umfaßt:</w:t>
      </w:r>
    </w:p>
    <w:p>
      <w:r>
        <w:t xml:space="preserve">Gemarkung Flur Flurstück</w:t>
      </w:r>
    </w:p>
    <w:p>
      <w:r>
        <w:t xml:space="preserve">Neusorgefeld</w:t>
      </w:r>
    </w:p>
    <w:p>
      <w:r>
        <w:t xml:space="preserve">4</w:t>
      </w:r>
    </w:p>
    <w:p>
      <w:r>
        <w:t xml:space="preserve">26 teilweise, 29 teilweise, 38 teilweise</w:t>
      </w:r>
    </w:p>
    <w:p>
      <w:r>
        <w:t xml:space="preserve">Schwarzenburg</w:t>
      </w:r>
    </w:p>
    <w:p>
      <w:r>
        <w:t xml:space="preserve">3</w:t>
      </w:r>
    </w:p>
    <w:p>
      <w:r>
        <w:t xml:space="preserve">12 teilweise, 25 teilweise, 28 teilweise</w:t>
      </w:r>
    </w:p>
    <w:p>
      <w:r>
        <w:t xml:space="preserve">(2) Die räumliche Begrenzung des geschützten Waldgebietes ergibt sich aus der beigefügten Karte, die Bestandteil der Rechtsverordnung ist.</w:t>
      </w:r>
    </w:p>
    <w:p>
      <w:r>
        <w:t xml:space="preserve">(3) Die Karte kann beim Ministerium für Ernährung, Landwirtschaft und Forsten in Potsdam - oberste Forstbehörde - sowie beim zuständigen Amt für Forstwirtschaft Lübben in Lübben - untere Forstbehörde - von jedermann während der Dienstzeiten eingesehen werden.</w:t>
      </w:r>
    </w:p>
    <w:p>
      <w:r>
        <w:rPr>
          <w:color w:val="555555"/>
          <w:sz w:val="17"/>
        </w:rPr>
        <w:t xml:space="preserve">Zitiervorschlag: § 2 VO-ID212163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https://recht.nulegal.eu/gesetze/VO-ID212163/2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