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VO-ID212161 (Brandenburg) — Verhältnis zu anderen Schutzgebietsausweisungen</w:t>
      </w:r>
    </w:p>
    <w:p>
      <w:r>
        <w:rPr>
          <w:color w:val="555555"/>
          <w:sz w:val="18"/>
        </w:rPr>
        <w:t xml:space="preserve">Verordnung zur Ausweisung des Waldgebietes ”Schützenhaus” als Schutzwald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sich aus der Schutzanordnung des Ministeriums für Landwirtschaft, Erfassung und Forsten vom 30. März 1961 (GBl. II S. 166) zum Naturschutzgebiet "Schützenhaus" sowie der Verordnung über die Festsetzung von Naturschutzgebieten und einem Landschaftsschutzgebiet von zentraler Bedeutung mit der Gesamtbezeichnung "Biosphärenreservat Spreewald", hier das Naturschutzgebiet "Innerer Oberspreewald" der Schutzzone II und die Kernzone "Hochwald-Polenzoa" der Schutzzone I, vom 12. September 1990 (GBl. Sonderdruck Nr. 1473) ergebenden naturschutzrechtlichen Vorschriften sowie Bestimmungen, die sich nach dem Brandenburgischen Naturschutzgesetz vom 25. Juni 1992 (GVBl. I S. 208) für dieses Gebietes ergeben, bleiben unberührt.</w:t>
      </w:r>
    </w:p>
    <w:p>
      <w:r>
        <w:rPr>
          <w:color w:val="555555"/>
          <w:sz w:val="17"/>
        </w:rPr>
        <w:t xml:space="preserve">Zitiervorschlag: § 4 VO-ID212161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https://recht.nulegal.eu/gesetze/VO-ID212161/4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VO-ID212161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