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VO-ID212161 (Brandenburg) — Zweck des Schutzwaldes</w:t>
      </w:r>
    </w:p>
    <w:p>
      <w:r>
        <w:rPr>
          <w:color w:val="555555"/>
          <w:sz w:val="18"/>
        </w:rPr>
        <w:t xml:space="preserve">Verordnung zur Ausweisung des Waldgebietes ”Schützenhaus” als Schutzwald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Erklärung zum Schutzwald dient der Erhaltung, der Pflege und der Gestaltung des Waldes zum Zwecke der Erforschung schutzwürdiger naturnaher Waldbiotope von überregionaler Bedeutung, insbesondere</w:t>
      </w:r>
    </w:p>
    <w:p>
      <w:r>
        <w:t xml:space="preserve">der Erforschung der natürlichen Entwicklung des auf Niedermoorböden aus künstlich begründeten Rabattenkulturen entstandenen Erlen-Hochwaldes, der Böden, Flora und Fauna sowie Waldstruktur und Wuchsdynamik;</w:t>
      </w:r>
    </w:p>
    <w:p>
      <w:r>
        <w:t xml:space="preserve">der Sicherung und Regeneration genetischer Ressourcen;</w:t>
      </w:r>
    </w:p>
    <w:p>
      <w:r>
        <w:t xml:space="preserve">der Erhaltung der floristischen und faunistischen Artenvielfalt;</w:t>
      </w:r>
    </w:p>
    <w:p>
      <w:r>
        <w:t xml:space="preserve">(2) Die Kennzeichnung des im Schutzwald gelegenen "Naturwaldes Hochwaldstraße" dient darüber hinaus:</w:t>
      </w:r>
    </w:p>
    <w:p>
      <w:r>
        <w:t xml:space="preserve">der Sicherung der sich natürlich entwickelnden Lebensgemeinschaften;</w:t>
      </w:r>
    </w:p>
    <w:p>
      <w:r>
        <w:t xml:space="preserve">als lokale und regionale Weiserfläche zur Ableitung und exemplarischen Veranschaulichung von Erkenntnissen für die Waldbaupraxis und forstliche Lehre sowie als Weiserfläche für Naturnähe und als Dauerbeobachtungsfläche für immissions- und klimabedingte Auswirkungen auf den Naturhaushalt.</w:t>
      </w:r>
    </w:p>
    <w:p>
      <w:r>
        <w:rPr>
          <w:color w:val="555555"/>
          <w:sz w:val="17"/>
        </w:rPr>
        <w:t xml:space="preserve">Zitiervorschlag: § 3 VO-ID212161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https://recht.nulegal.eu/gesetze/VO-ID212161/3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