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VO-ID212160 (Brandenburg) — Zweck des Schutzwaldes</w:t>
      </w:r>
    </w:p>
    <w:p>
      <w:r>
        <w:rPr>
          <w:color w:val="555555"/>
          <w:sz w:val="18"/>
        </w:rPr>
        <w:t xml:space="preserve">Verordnung zur Ausweisung des Waldgebietes ”Kleinsee”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Erklärung zum Schutzwald dient der Erhaltung, der</w:t>
      </w:r>
    </w:p>
    <w:p>
      <w:r>
        <w:t xml:space="preserve">Pflege und der Gestaltung der naturnahen, beerenkrautreichen</w:t>
      </w:r>
    </w:p>
    <w:p>
      <w:r>
        <w:t xml:space="preserve">mittelmärkischen Kiefern-Traubeneichenwälder sowie der Kesselseen und</w:t>
      </w:r>
    </w:p>
    <w:p>
      <w:r>
        <w:t xml:space="preserve">-moore als Voraussetzung zur Sicherung genetischer Ressourcen, des</w:t>
      </w:r>
    </w:p>
    <w:p>
      <w:r>
        <w:t xml:space="preserve">naturräumlich reich gegliederten Landschaftsausschnittes sowie zur</w:t>
      </w:r>
    </w:p>
    <w:p>
      <w:r>
        <w:t xml:space="preserve">Durchführung von Forschungen.</w:t>
      </w:r>
    </w:p>
    <w:p>
      <w:r>
        <w:t xml:space="preserve">Die Unterschutzstellung dient insbesondere:</w:t>
      </w:r>
    </w:p>
    <w:p>
      <w:r>
        <w:t xml:space="preserve">dem Erhalt als Lebensraum zahlreicher gefährdeter Tier- und</w:t>
      </w:r>
    </w:p>
    <w:p>
      <w:r>
        <w:t xml:space="preserve">Pflanzenarten;</w:t>
      </w:r>
    </w:p>
    <w:p>
      <w:r>
        <w:t xml:space="preserve">der Sicherung und Regeneration genetischer Ressourcen autochthoner</w:t>
      </w:r>
    </w:p>
    <w:p>
      <w:r>
        <w:t xml:space="preserve">Populationen heimischer Baum- und Straucharten, insbesondere von Traubeneiche;</w:t>
      </w:r>
    </w:p>
    <w:p>
      <w:r>
        <w:t xml:space="preserve">der langfristigen forstwissenschaftlichen Erforschung der Walddynamik des</w:t>
      </w:r>
    </w:p>
    <w:p>
      <w:r>
        <w:t xml:space="preserve">naturnahen Traubeneichen-Mischwaldes sowie der interdisziplinären</w:t>
      </w:r>
    </w:p>
    <w:p>
      <w:r>
        <w:t xml:space="preserve">naturwissenschaftlichen Forschung.</w:t>
      </w:r>
    </w:p>
    <w:p>
      <w:r>
        <w:t xml:space="preserve">(2) Die Kennzeichnung des im Schutzwald gelegenen</w:t>
      </w:r>
    </w:p>
    <w:p>
      <w:r>
        <w:t xml:space="preserve">"Naturwaldes Tauersche Eichen" dient darüber hinaus:</w:t>
      </w:r>
    </w:p>
    <w:p>
      <w:r>
        <w:t xml:space="preserve">der durch den Menschen nicht direkt beeinflußten Waldentwicklung;</w:t>
      </w:r>
    </w:p>
    <w:p>
      <w:r>
        <w:t xml:space="preserve">als lokale und regionale Weiserfläche zur Ableitung und</w:t>
      </w:r>
    </w:p>
    <w:p>
      <w:r>
        <w:t xml:space="preserve">exemplarischen Veranschaulichung von Erkenntnissen für die Waldbaupraxis</w:t>
      </w:r>
    </w:p>
    <w:p>
      <w:r>
        <w:t xml:space="preserve">und forstliche Lehre.</w:t>
      </w:r>
    </w:p>
    <w:p>
      <w:r>
        <w:rPr>
          <w:color w:val="555555"/>
          <w:sz w:val="17"/>
        </w:rPr>
        <w:t xml:space="preserve">Zitiervorschlag: § 3 VO-ID212160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https://recht.nulegal.eu/gesetze/VO-ID212160/3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