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VO-ID212159 (Brandenburg) — Verhältnis zu anderen Schutzgebietsausweisungen</w:t>
      </w:r>
    </w:p>
    <w:p>
      <w:r>
        <w:rPr>
          <w:color w:val="555555"/>
          <w:sz w:val="18"/>
        </w:rPr>
        <w:t xml:space="preserve">Verordnung zur Ausweisung des Waldgebietes ”Linther Busch”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Bestimmungen, die sich nach dem Brandenburgischen</w:t>
      </w:r>
    </w:p>
    <w:p>
      <w:r>
        <w:t xml:space="preserve">Naturschutzgesetz vom 25. Juni 1992 (GVBl. I S. 208) für dieses Gebiet</w:t>
      </w:r>
    </w:p>
    <w:p>
      <w:r>
        <w:t xml:space="preserve">ergeben, bleiben unberührt.</w:t>
      </w:r>
    </w:p>
    <w:p>
      <w:r>
        <w:rPr>
          <w:color w:val="555555"/>
          <w:sz w:val="17"/>
        </w:rPr>
        <w:t xml:space="preserve">Zitiervorschlag: § 4 VO-ID212159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https://recht.nulegal.eu/gesetze/VO-ID212159/4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