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VO-ID212159 (Brandenburg) — Zweck des Schutzwaldes</w:t>
      </w:r>
    </w:p>
    <w:p>
      <w:r>
        <w:rPr>
          <w:color w:val="555555"/>
          <w:sz w:val="18"/>
        </w:rPr>
        <w:t xml:space="preserve">Verordnung zur Ausweisung des Waldgebietes ”Linther Busch”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Schutzwald dient der Erhaltung, der</w:t>
      </w:r>
    </w:p>
    <w:p>
      <w:r>
        <w:t xml:space="preserve">Pflege und der Gestaltung des Waldes zum Zwecke des Schutzes eines seltenen</w:t>
      </w:r>
    </w:p>
    <w:p>
      <w:r>
        <w:t xml:space="preserve">Laubwaldreliktes auf mineralischen Naßstandorten des Baruther</w:t>
      </w:r>
    </w:p>
    <w:p>
      <w:r>
        <w:t xml:space="preserve">Urstromtales und der Fortführung einer historischen</w:t>
      </w:r>
    </w:p>
    <w:p>
      <w:r>
        <w:t xml:space="preserve">Erlen-Niederwald-Bewirtschaftungsform auf ausgewählten Flächen.</w:t>
      </w:r>
    </w:p>
    <w:p>
      <w:r>
        <w:t xml:space="preserve">(2) Die Unterschutzstellung des "Linther Buschs"</w:t>
      </w:r>
    </w:p>
    <w:p>
      <w:r>
        <w:t xml:space="preserve">dient insbesondere:</w:t>
      </w:r>
    </w:p>
    <w:p>
      <w:r>
        <w:t xml:space="preserve">der Vermeidung nachhaltiger Schäden und Störungen des</w:t>
      </w:r>
    </w:p>
    <w:p>
      <w:r>
        <w:t xml:space="preserve">Waldgebietes,</w:t>
      </w:r>
    </w:p>
    <w:p>
      <w:r>
        <w:t xml:space="preserve">der langfristigen naturnahen Gestaltung der Baumarten- und Altersstruktur</w:t>
      </w:r>
    </w:p>
    <w:p>
      <w:r>
        <w:t xml:space="preserve">der potentiell natürlichen Vegetation (Frauenfarn-Erlenbruchwald,</w:t>
      </w:r>
    </w:p>
    <w:p>
      <w:r>
        <w:t xml:space="preserve">Giersch-Erlen-Eschenwald, Traubenkirschen-Erlen-Eschenwald,</w:t>
      </w:r>
    </w:p>
    <w:p>
      <w:r>
        <w:t xml:space="preserve">Ahorn-Stieleichen-Hainbuchenwald),</w:t>
      </w:r>
    </w:p>
    <w:p>
      <w:r>
        <w:t xml:space="preserve">der Sicherung der Stabilität der Bestände vorrangig in</w:t>
      </w:r>
    </w:p>
    <w:p>
      <w:r>
        <w:t xml:space="preserve">Abhängigkeit von der Wasserstandsregulierung,</w:t>
      </w:r>
    </w:p>
    <w:p>
      <w:r>
        <w:t xml:space="preserve">dem Erhalt eines Weidenhegers als historische Landnutzungsform,</w:t>
      </w:r>
    </w:p>
    <w:p>
      <w:r>
        <w:t xml:space="preserve">der Gewährleistung der Artenvielfalt und des Artenschutzes, besonders</w:t>
      </w:r>
    </w:p>
    <w:p>
      <w:r>
        <w:t xml:space="preserve">vorkommender gefährdeter Arten,</w:t>
      </w:r>
    </w:p>
    <w:p>
      <w:r>
        <w:t xml:space="preserve">der Strukturierung des Übergangsbereiches von Wald- und</w:t>
      </w:r>
    </w:p>
    <w:p>
      <w:r>
        <w:t xml:space="preserve">Offenlandschaft,</w:t>
      </w:r>
    </w:p>
    <w:p>
      <w:r>
        <w:t xml:space="preserve">der langfristigen wissenschaftlichen Untersuchung der</w:t>
      </w:r>
    </w:p>
    <w:p>
      <w:r>
        <w:t xml:space="preserve">Vegetationsentwicklung und des Waldwachstums.</w:t>
      </w:r>
    </w:p>
    <w:p>
      <w:r>
        <w:rPr>
          <w:color w:val="555555"/>
          <w:sz w:val="17"/>
        </w:rPr>
        <w:t xml:space="preserve">Zitiervorschlag: § 3 VO-ID212159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