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VO-ID212158 (Brandenburg) — Zweck des Schutzwaldes</w:t>
      </w:r>
    </w:p>
    <w:p>
      <w:r>
        <w:rPr>
          <w:color w:val="555555"/>
          <w:sz w:val="18"/>
        </w:rPr>
        <w:t xml:space="preserve">Verordnung zur Ausweisung des Waldgebietes ”Naturwald Dubrow” als Schutzwald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Erklärung zum Schutzwald dient der Erhaltung, der</w:t>
      </w:r>
    </w:p>
    <w:p>
      <w:r>
        <w:t xml:space="preserve">Pflege und der Gestaltung des Waldes zum Zwecke der Erforschung der naturnahen</w:t>
      </w:r>
    </w:p>
    <w:p>
      <w:r>
        <w:t xml:space="preserve">Entwicklung des Waldreitgras-Kiefern-Traubeneichenwaldes (Calamagrostido</w:t>
      </w:r>
    </w:p>
    <w:p>
      <w:r>
        <w:t xml:space="preserve">Quercetum).</w:t>
      </w:r>
    </w:p>
    <w:p>
      <w:r>
        <w:t xml:space="preserve">(2) Die Unterschutzstellung des Schutzwaldes "Naturwald</w:t>
      </w:r>
    </w:p>
    <w:p>
      <w:r>
        <w:t xml:space="preserve">Dubrow" dient insbesondere:</w:t>
      </w:r>
    </w:p>
    <w:p>
      <w:r>
        <w:t xml:space="preserve">der Erforschung sich selbst entwickelnder Waldlebensgemeinschaften, ihrer</w:t>
      </w:r>
    </w:p>
    <w:p>
      <w:r>
        <w:t xml:space="preserve">Böden, Vegetation, Fauna, Waldstruktur und Dynamik;</w:t>
      </w:r>
    </w:p>
    <w:p>
      <w:r>
        <w:t xml:space="preserve">als lokale und regionale Weiserfläche zur Ableitung und</w:t>
      </w:r>
    </w:p>
    <w:p>
      <w:r>
        <w:t xml:space="preserve">exemplarischen Veranschaulichung von Erkenntnissen für die Waldbaupraxis</w:t>
      </w:r>
    </w:p>
    <w:p>
      <w:r>
        <w:t xml:space="preserve">und forstliche Lehre;</w:t>
      </w:r>
    </w:p>
    <w:p>
      <w:r>
        <w:t xml:space="preserve">als Weiserfläche für Naturnähe und als</w:t>
      </w:r>
    </w:p>
    <w:p>
      <w:r>
        <w:t xml:space="preserve">Dauerbeobachtungsfläche für immissions- und klimabedingte</w:t>
      </w:r>
    </w:p>
    <w:p>
      <w:r>
        <w:t xml:space="preserve">Auswirkungen auf den Naturhaushalt;</w:t>
      </w:r>
    </w:p>
    <w:p>
      <w:r>
        <w:t xml:space="preserve">der Erhaltung und Regeneration genetischer Ressourcen;</w:t>
      </w:r>
    </w:p>
    <w:p>
      <w:r>
        <w:t xml:space="preserve">der Erhaltung der floristischen und faunistischen Artenvielfalt und</w:t>
      </w:r>
    </w:p>
    <w:p>
      <w:r>
        <w:t xml:space="preserve">der Sicherung der sich natürlich entwickelnden Lebensgemeinschaften</w:t>
      </w:r>
    </w:p>
    <w:p>
      <w:r>
        <w:t xml:space="preserve">und Artenvielfalt.</w:t>
      </w:r>
    </w:p>
    <w:p>
      <w:r>
        <w:rPr>
          <w:color w:val="555555"/>
          <w:sz w:val="17"/>
        </w:rPr>
        <w:t xml:space="preserve">Zitiervorschlag: § 3 VO-ID212158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https://recht.nulegal.eu/gesetze/VO-ID212158/3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VO-ID212158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