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VO-ID212155 (Brandenburg)</w:t>
      </w:r>
    </w:p>
    <w:p>
      <w:r>
        <w:rPr>
          <w:color w:val="555555"/>
          <w:sz w:val="18"/>
        </w:rPr>
        <w:t xml:space="preserve">Zweite Verordnung zur Übertragung der Befugnis für den Erlaß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1 der Ersten Verordnung zur Übertragung der Befugnis für den Erlaß von Rechtsverordnungen zur Festsetzung von Naturschutzgebieten und Landschaftsschutzgebieten vom 8. Januar 1996 (GVBl. II S. 51) wird wie folgt geändert:</w:t>
      </w:r>
    </w:p>
    <w:p>
      <w:r>
        <w:t xml:space="preserve">Es werden gestrichen:</w:t>
      </w:r>
    </w:p>
    <w:p>
      <w:r>
        <w:t xml:space="preserve">Nummer 2,</w:t>
      </w:r>
    </w:p>
    <w:p>
      <w:r>
        <w:t xml:space="preserve">in Nummer 8 der Buchstabe l ("Hutelandschaft Altranft - Sonnenburg")</w:t>
      </w:r>
    </w:p>
    <w:p>
      <w:r>
        <w:rPr>
          <w:color w:val="555555"/>
          <w:sz w:val="17"/>
        </w:rPr>
        <w:t xml:space="preserve">Zitiervorschlag: § 2 VO-ID212155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