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 VO-ID212151 (Brandenburg)</w:t>
      </w:r>
    </w:p>
    <w:p>
      <w:r>
        <w:rPr>
          <w:color w:val="555555"/>
          <w:sz w:val="18"/>
        </w:rPr>
        <w:t xml:space="preserve">Verordnung zur Änderung der Verordnung über das Landschaftsschutzgebiet „Wiesen- und Teichgebiet Eulo und Jamno“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Verletzung der Verfahrens- und Formvorschriften des Brandenburgischen Naturschutzgesetzes kann gegen diese Verordnung nur innerhalb von zwei Jahren nach ihrer Verkündung geltend gemacht werden.</w:t>
      </w:r>
    </w:p>
    <w:p>
      <w:r>
        <w:rPr>
          <w:color w:val="555555"/>
          <w:sz w:val="17"/>
        </w:rPr>
        <w:t xml:space="preserve">Zitiervorschlag: Art 2 VO-ID212151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https://recht.nulegal.eu/gesetze/VO-ID212151/2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