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VO-ID212145 (Brandenburg) — Pflege- und Entwicklungsmaßnahmen</w:t>
      </w:r>
    </w:p>
    <w:p>
      <w:r>
        <w:rPr>
          <w:color w:val="555555"/>
          <w:sz w:val="18"/>
        </w:rPr>
        <w:t xml:space="preserve">Verordnung über das Naturschutzgebiet „Reptener Teiche“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 Pflege- und Entwicklungsmaßnahmen werden als Zielvorgabe benannt:</w:t>
      </w:r>
    </w:p>
    <w:p>
      <w:r>
        <w:t xml:space="preserve">die fischereiwirtschaftliche Bewirtschaftung des Ober- und Unterteiches soll nach ökologischen Kriterien erfolgen, wobei mindestens 30 Prozent der bespannbaren Teichfläche als Schilffläche zu erhalten sind;</w:t>
      </w:r>
    </w:p>
    <w:p>
      <w:r>
        <w:t xml:space="preserve">an Staubauwerken soll die biologische Durchgängigkeit hergestellt werden;</w:t>
      </w:r>
    </w:p>
    <w:p>
      <w:r>
        <w:t xml:space="preserve">der vorgesehene naturnahe Rückbau des für die Grubenwasserableitung ausgebauten Vetschauer Mühlenfließes soll nach Möglichkeit die Eigendynamik des Fließgewässers zur Formung der Gewässerbettstruktur zulassen;</w:t>
      </w:r>
    </w:p>
    <w:p>
      <w:r>
        <w:t xml:space="preserve">Entwicklung einer Konzeption zur naturorientierten und naturverträglichen Erholungsnutzung.</w:t>
      </w:r>
    </w:p>
    <w:p>
      <w:r>
        <w:rPr>
          <w:color w:val="555555"/>
          <w:sz w:val="17"/>
        </w:rPr>
        <w:t xml:space="preserve">Zitiervorschlag: § 6 VO-ID212145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https://recht.nulegal.eu/gesetze/VO-ID212145/6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VO-ID212145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