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VO-ID212145 (Brandenburg) — Zulässige Handlungen</w:t>
      </w:r>
    </w:p>
    <w:p>
      <w:r>
        <w:rPr>
          <w:color w:val="555555"/>
          <w:sz w:val="18"/>
        </w:rPr>
        <w:t xml:space="preserve">Verordnung über das Naturschutzgebiet „Reptener Teiche“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im Sinne des § 11 Abs. 2 des Brandenburgischen Naturschutzgesetzes ordnungsgemäße landwirtschaftliche Bodennutzung in der bisherigen Art und im bisherigen Umfang auf den bisher rechtmäßig dafür genutzten Flächen mit der Maßgabe, dass</w:t>
      </w:r>
    </w:p>
    <w:p>
      <w:r>
        <w:t xml:space="preserve">Grünland als Wiese oder Weide genutzt wird und die jährliche Zufuhr an Pflanzennährstoffen über Dünger inklusive der Exkremente von Weidetieren je Hektar Grünland die Menge nicht überschreitet, die dem Äquivalent an Dünger von 1,4 Großvieheinheiten (GVE) entspricht, ohne chemisch-synthetische Stickstoffdüngemittel einzusetzen. Darüber hinaus gilt § 4 Abs. 2 Nr. 17,</w:t>
      </w:r>
    </w:p>
    <w:p>
      <w:r>
        <w:t xml:space="preserve">die Nutzung des Grünlandes nicht vor dem 16. Juni eines jeden Jahres erfolgt,</w:t>
      </w:r>
    </w:p>
    <w:p>
      <w:r>
        <w:t xml:space="preserve">§ 4 Abs. 2 Nr. 23 und 24 gilt; bei Narbenschäden ist eine umbruchlose Nachsaat mit Zustimmung der unteren Naturschutzbehörde zulässig;</w:t>
      </w:r>
    </w:p>
    <w:p>
      <w:r>
        <w:t xml:space="preserve">die im Sinne des § 11 Abs. 3 des Brandenburgischen Naturschutzgesetzes ordnungsgemäße forstwirtschaftliche Bodennutzung in der bisherigen Art und im bisherigen Umfang auf den bisher rechtmäßig dafür genutzten Flächen mit der Maßgabe, dass</w:t>
      </w:r>
    </w:p>
    <w:p>
      <w:r>
        <w:t xml:space="preserve">bei der Wiederaufforstung die Verwendung fremdländischer Baumarten verboten ist,</w:t>
      </w:r>
    </w:p>
    <w:p>
      <w:r>
        <w:t xml:space="preserve">§ 4 Abs. 2 Nr. 17 und 23 gilt;</w:t>
      </w:r>
    </w:p>
    <w:p>
      <w:r>
        <w:t xml:space="preserve">die im Sinne des § 11 Abs. 4 des Brandenburgischen Naturschutzgesetzes in Verbindung mit § 1 Abs. 1 und 2 des Fischereigesetzes für das Land Brandenburg ordnungsgemäße fischereiwirtschaftliche Flächennutzung in der bisherigen Art und im bisherigen Umfang, sowie die Teichbewirtschaftung des Ober- und Unterteiches mit der Maßgabe, dass Fanggeräte und Fangmittel so einzusetzen oder auszustatten sind, dass ein Einschwimmen und eine Gefährdung des Fischotters weitgehend ausgeschlossen ist. Die Ausübung der Angelfischerei bleibt unzulässig;</w:t>
      </w:r>
    </w:p>
    <w:p>
      <w:r>
        <w:t xml:space="preserve">für den Bereich der Jagd:</w:t>
      </w:r>
    </w:p>
    <w:p>
      <w:r>
        <w:t xml:space="preserve">die rechtmäßige Ausübung der Jagd mit der Maßgabe, dass</w:t>
      </w:r>
    </w:p>
    <w:p>
      <w:r>
        <w:t xml:space="preserve">aa) die Jagd in der Zeit vom 1. März bis 30. Juni eines Jahres ausschließlich vom Ansitz aus erfolgt,</w:t>
      </w:r>
    </w:p>
    <w:p>
      <w:r>
        <w:t xml:space="preserve">bb) die Jagd auf Wasservögel erst ab dem 15. November eines jeden Jahres bis zum Ende der gesetzlichen Jagdzeit gestattet ist,</w:t>
      </w:r>
    </w:p>
    <w:p>
      <w:r>
        <w:t xml:space="preserve">die Anlage ortsunveränderlicher jagdlicher Einrichtungen zur Ansitzjagd mit Zustimmung der unteren Naturschutzbehörde. Die Zustimmung ist zu erteilen, wenn der Schutzzweck nicht beeinträchtigt wird Transportable und mobile Ansitzeinrichtungen sind der unteren Naturschutzbehörde vor der Errichtung anzuzeigen. Die untere Naturschutzbehörde kann in begründeten Einzelfällen das Aufstellen verbieten. Die Entscheidung hierüber soll unverzüglich erfolgen,</w:t>
      </w:r>
    </w:p>
    <w:p>
      <w:r>
        <w:t xml:space="preserve">die Anlage von Kirrungen außerhalb gesetzlich geschützter Biotope. Im Übrigen bleibt die Anlage von Wildfütterungen, Ansaatwildwiesen und Wildäckern sowie die Ausbildung und Prüfung von Hunden unzulässig;</w:t>
      </w:r>
    </w:p>
    <w:p>
      <w:r>
        <w:t xml:space="preserve">der teilweise Rückbau des „Neuen Vetschauer Mühlenfließes“ (Grubenwasserkanal) im Bereich des Ober- und Unterteiches;</w:t>
      </w:r>
    </w:p>
    <w:p>
      <w:r>
        <w:t xml:space="preserve">die ordnungsgemäße Unterhaltung der Gewässer mit der Maßgabe, dass</w:t>
      </w:r>
    </w:p>
    <w:p>
      <w:r>
        <w:t xml:space="preserve">die Instandhaltung der Gräben sowie die mechanische Krautung nicht vor dem 15. Juli eines jeden Jahres vorzunehmen ist,</w:t>
      </w:r>
    </w:p>
    <w:p>
      <w:r>
        <w:t xml:space="preserve">die Unterhaltung im Einvernehmen mit der unteren Naturschutzbehörde erfolgt,</w:t>
      </w:r>
    </w:p>
    <w:p>
      <w:r>
        <w:t xml:space="preserve">§ 4 Abs. 23 gilt;</w:t>
      </w:r>
    </w:p>
    <w:p>
      <w:r>
        <w:t xml:space="preserve">die im Sinne des § 10 des Brandenburgischen Straßengesetzes ordnungsgemäße Unterhaltung der dem öffentlichen Verkehr gewidmeten Straßen und Wege sowie die ordnungsgemäße Unterhaltung sonstiger rechtmäßig bestehender Anlagen jeweils im Einvernehmen mit der unteren Naturschutzbehörde;</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Altlastenverdachtsflächen und Verdachtsflächen sowie Maßnahmen der Altlastensanierung und der Sanierung schädlicher Bodenveränderungen gemäß Bundes-Bodenschutzgesetz sowie Maßnahmen der Munitionsräumung im Einvernehmen mit der unteren Naturschutzbehörde;</w:t>
      </w:r>
    </w:p>
    <w:p>
      <w:r>
        <w:t xml:space="preserve">Schutz-, Pflege- und Entwicklungsmaßnahmen, die von der unteren Naturschutzbehörde angeordnet worden sind;</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VO-ID212145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https://recht.nulegal.eu/gesetze/VO-ID212145/5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