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VO-ID212145 (Brandenburg) — Verbote</w:t>
      </w:r>
    </w:p>
    <w:p>
      <w:r>
        <w:rPr>
          <w:color w:val="555555"/>
          <w:sz w:val="18"/>
        </w:rPr>
        <w:t xml:space="preserve">Verordnung über das Naturschutzgebiet „Reptener Teiche“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zu baden oder zu tauchen;</w:t>
      </w:r>
    </w:p>
    <w:p>
      <w:r>
        <w:t xml:space="preserve">Wasserfahrzeuge aller Art einschließlich Luftmatratzen zu benutzen;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oder Wasservögel zu füttern;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nachzusäen, umzubrechen oder neu anzusäen.</w:t>
      </w:r>
    </w:p>
    <w:p>
      <w:r>
        <w:rPr>
          <w:color w:val="555555"/>
          <w:sz w:val="17"/>
        </w:rPr>
        <w:t xml:space="preserve">Zitiervorschlag: § 4 VO-ID212145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https://recht.nulegal.eu/gesetze/VO-ID212145/4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