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VO-ID212145 (Brandenburg) — Schutzzweck</w:t>
      </w:r>
    </w:p>
    <w:p>
      <w:r>
        <w:rPr>
          <w:color w:val="555555"/>
          <w:sz w:val="18"/>
        </w:rPr>
        <w:t xml:space="preserve">Verordnung über das Naturschutzgebiet „Reptener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Naturschutzgebietes, das ein Relikt einer naturnahen Landschaft des Lausitzer Beckens umfasst, ist</w:t>
      </w:r>
    </w:p>
    <w:p>
      <w:r>
        <w:t xml:space="preserve">die Erhaltung, Entwicklung und Wiederherstellung</w:t>
      </w:r>
    </w:p>
    <w:p>
      <w:r>
        <w:t xml:space="preserve">als Lebensraum seltener in ihrem Bestand bedrohter wild lebender Pflanzengesellschaften, insbesondere der Röhricht- und Schwimmblattgesellschaften, der Feuchtwiesen und Erlenbruchgesellschaften sowie der uferbegleitenden Laubgehölze,</w:t>
      </w:r>
    </w:p>
    <w:p>
      <w:r>
        <w:t xml:space="preserve">als Lebens-, Nahrungs-, Brut-, Rast- und Überwinterungsgebiet wild lebender Tierarten, insbesondere für bedrohte Säuger, Wasservogel- und Großvogelarten sowie für Amphibien;</w:t>
      </w:r>
    </w:p>
    <w:p>
      <w:r>
        <w:t xml:space="preserve">die Erhaltung der Lebensräume wild lebender Pflanzenarten, darunter nach § 10 Abs. 2 Nr. 10 des Bundesnaturschutzgesetzes besonders geschützter Arten, beispielweise Breitblättriges Knabenkraut (Dactylorhiza majalis), Weiße Seerose (Nuphar alba), Große Teichrose (Nuphar lutea) und Wasser- Schwertlilie (Iris pseudacorus);</w:t>
      </w:r>
    </w:p>
    <w:p>
      <w:r>
        <w:t xml:space="preserve">die Erhaltung und Entwicklung des Gebietes als Lebens- beziehungsweise Rückzugsraum und potenzielles Wiederausbreitungszentrum wild lebender Tierarten, darunter nach § 10 Abs. 2 Nr. 10 und 11 des Bundesnaturschutzgesetzes besonders und streng geschützter Arten, beispielsweise Zwergtaucher (Tachybaptus ruficollis), Wasserralle (Rallus aquaticus), Drosselrohrsänger (Acrocephalus arundinacaeus), Beutelmeise (Remiz pendulinus) und Rohrweihe (Circus aeruginosus);</w:t>
      </w:r>
    </w:p>
    <w:p>
      <w:r>
        <w:t xml:space="preserve">die Erhaltung aus wissenschaftlichen Gründen zur Beobachtung und Erforschung von Arten- und Lebensgemeinschaften der Teich- und Wiesengebiete;</w:t>
      </w:r>
    </w:p>
    <w:p>
      <w:r>
        <w:t xml:space="preserve">die Erhaltung der besonderen Eigenart des Gebietes mit Teichen, Gehölzgruppen und Kleingewässern mit hoher Strukturvielfalt und Artendiversität in der bergbaulich geprägten Landschaft;</w:t>
      </w:r>
    </w:p>
    <w:p>
      <w:r>
        <w:t xml:space="preserve">die Erhaltung und Entwicklung des Niedermoorkörpers als Nährstoffsenke und stabilisierendes Element im Landschaftswasserhaushalt;</w:t>
      </w:r>
    </w:p>
    <w:p>
      <w:r>
        <w:t xml:space="preserve">die Erhaltung und Entwicklung des Gebietes als wesentlicher Teil des überregionalen Biotopverbundes zwischen der Calauer Schweiz und dem Spreewald.</w:t>
      </w:r>
    </w:p>
    <w:p>
      <w:r>
        <w:t xml:space="preserve">(2) Die Unterschutzstellung dient der Erhaltung und Entwicklung</w:t>
      </w:r>
    </w:p>
    <w:p>
      <w:r>
        <w:t xml:space="preserve">von natürlichen eutrophen Seen mit einer Vegetation des Magnopotamions, Flüssen der planaren Stufe mit Vegetation des Ranunclion fluitantis und des Callitricho-Batrachion, feuchten Hochstaudenfluren der planaren Stufe, mageren Flachland-Mähwiesen (Alopecurus pratensis, Sanguisorba officinalis) und alten bodensauren Eichenwäldern auf Sandebenen mit Quercus robur als Lebensraumtypen nach Anhang I der Richtlinie 92/43/EWG des Rates vom 21. Mai 1992 zur Erhaltung der natürlichen Lebensräume sowie der wild lebenden Tiere und Pflanzen (ABl. EG Nr. L 206 S. 7), zuletzt geändert durch die Richtlinie 97/62/EG vom 27. Oktober 1997 (ABl. EG Nr. L 305 S. 42) – Fauna-Flora-Habitat-Richtlinie;</w:t>
      </w:r>
    </w:p>
    <w:p>
      <w:r>
        <w:t xml:space="preserve">von Auen-Wäldern mit Schwarzerle (Alnus glutinosa) und Esche (Fraxinus excelsior) [Alno Padion] als prioritärer Lebensraumtyp nach Anhang I der Fauna-Flora-Habitat-Richtlinie;</w:t>
      </w:r>
    </w:p>
    <w:p>
      <w:r>
        <w:t xml:space="preserve">von Fischotter (Lutra lutra), Rotbauchunke (Bombina bombina), Kammmolch (Triturus cristatuts) und Heldbock (Cerambyx cerdo) als Tierarten nach Anhang II der Fauna-Flora-Habitat-Richtlinie,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VO-ID212145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https://recht.nulegal.eu/gesetze/VO-ID212145/3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VO-ID212145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