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VO-ID212145 (Brandenburg) — Geltendmachen von Rechtsmängeln</w:t>
      </w:r>
    </w:p>
    <w:p>
      <w:r>
        <w:rPr>
          <w:color w:val="555555"/>
          <w:sz w:val="18"/>
        </w:rPr>
        <w:t xml:space="preserve">Verordnung über das Naturschutzgebiet „Reptener Teiche“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Eine Verletzung von Vorschriften des Brandenburgischen Naturschutzgesetzes oder anderer Rechtsvorschriften kann gegen diese Verordnung nur innerhalb von zwei Jahren nach ihrer Verkündung geltend gemacht werden (§ 47 Abs. 1 Nr. 2 und Abs. 2 der Verwaltungsgerichtsordnung in Verbindung mit § 4 Abs. 1 des Brandenburgischen Verwaltungsgerichtsgesetzes).</w:t>
      </w:r>
    </w:p>
    <w:p>
      <w:r>
        <w:rPr>
          <w:color w:val="555555"/>
          <w:sz w:val="17"/>
        </w:rPr>
        <w:t xml:space="preserve">Zitiervorschlag: § 10 VO-ID212145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https://recht.nulegal.eu/gesetze/VO-ID212145/10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